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9F68" w14:textId="77777777" w:rsidR="00EE6BF5" w:rsidRPr="007D538B" w:rsidRDefault="00EE6BF5" w:rsidP="00A605A1">
      <w:pPr>
        <w:jc w:val="center"/>
        <w:rPr>
          <w:rFonts w:ascii="Arial" w:hAnsi="Arial" w:cs="Arial"/>
          <w:b/>
          <w:sz w:val="36"/>
          <w:szCs w:val="36"/>
        </w:rPr>
      </w:pPr>
      <w:r w:rsidRPr="007D538B">
        <w:rPr>
          <w:rFonts w:ascii="Arial" w:hAnsi="Arial" w:cs="Arial"/>
          <w:b/>
          <w:sz w:val="36"/>
          <w:szCs w:val="36"/>
        </w:rPr>
        <w:t>Police Complaints Information Bulletin</w:t>
      </w:r>
    </w:p>
    <w:p w14:paraId="7FB64D24" w14:textId="77777777" w:rsidR="00EE6BF5" w:rsidRPr="00791B40" w:rsidRDefault="00EE6BF5" w:rsidP="00A605A1">
      <w:pPr>
        <w:jc w:val="center"/>
        <w:rPr>
          <w:rFonts w:ascii="Arial" w:hAnsi="Arial" w:cs="Arial"/>
          <w:b/>
        </w:rPr>
      </w:pPr>
    </w:p>
    <w:p w14:paraId="0FBA61A8" w14:textId="77777777" w:rsidR="00EE6BF5" w:rsidRPr="007404FE" w:rsidRDefault="00E17C8B" w:rsidP="00A7673D">
      <w:pPr>
        <w:jc w:val="center"/>
        <w:rPr>
          <w:rFonts w:ascii="Arial" w:hAnsi="Arial" w:cs="Arial"/>
          <w:b/>
          <w:sz w:val="40"/>
          <w:szCs w:val="40"/>
        </w:rPr>
      </w:pPr>
      <w:r w:rsidRPr="007404FE">
        <w:rPr>
          <w:rFonts w:ascii="Arial" w:hAnsi="Arial" w:cs="Arial"/>
          <w:b/>
          <w:sz w:val="40"/>
          <w:szCs w:val="40"/>
        </w:rPr>
        <w:t xml:space="preserve">Force </w:t>
      </w:r>
      <w:r w:rsidR="00EE6BF5" w:rsidRPr="007404FE">
        <w:rPr>
          <w:rFonts w:ascii="Arial" w:hAnsi="Arial" w:cs="Arial"/>
          <w:b/>
          <w:sz w:val="40"/>
          <w:szCs w:val="40"/>
        </w:rPr>
        <w:t>Commentary Sheet</w:t>
      </w:r>
    </w:p>
    <w:p w14:paraId="7C411C01" w14:textId="77777777" w:rsidR="00EE6BF5" w:rsidRPr="00A605A1" w:rsidRDefault="00EE6BF5" w:rsidP="00A605A1">
      <w:pPr>
        <w:jc w:val="center"/>
        <w:rPr>
          <w:rFonts w:ascii="Arial" w:hAnsi="Arial" w:cs="Arial"/>
          <w:b/>
        </w:rPr>
      </w:pPr>
    </w:p>
    <w:p w14:paraId="68DC587C" w14:textId="62508161" w:rsidR="00173485" w:rsidRPr="00791B40" w:rsidRDefault="00EE6BF5" w:rsidP="00173485">
      <w:pPr>
        <w:jc w:val="center"/>
        <w:rPr>
          <w:rFonts w:ascii="Arial" w:hAnsi="Arial" w:cs="Arial"/>
          <w:b/>
        </w:rPr>
      </w:pPr>
      <w:r w:rsidRPr="00791B40">
        <w:rPr>
          <w:rFonts w:ascii="Arial" w:hAnsi="Arial" w:cs="Arial"/>
          <w:b/>
        </w:rPr>
        <w:t>Reporting Period:</w:t>
      </w:r>
      <w:r>
        <w:rPr>
          <w:rFonts w:ascii="Arial" w:hAnsi="Arial" w:cs="Arial"/>
          <w:b/>
        </w:rPr>
        <w:t xml:space="preserve"> </w:t>
      </w:r>
      <w:r w:rsidR="00173485" w:rsidRPr="00791B40">
        <w:rPr>
          <w:rFonts w:ascii="Arial" w:hAnsi="Arial" w:cs="Arial"/>
          <w:b/>
        </w:rPr>
        <w:t>Reporting Period:</w:t>
      </w:r>
      <w:r w:rsidR="00173485">
        <w:rPr>
          <w:rFonts w:ascii="Arial" w:hAnsi="Arial" w:cs="Arial"/>
          <w:b/>
        </w:rPr>
        <w:t xml:space="preserve"> </w:t>
      </w:r>
      <w:r w:rsidR="00912530">
        <w:rPr>
          <w:rFonts w:ascii="Arial" w:hAnsi="Arial" w:cs="Arial"/>
        </w:rPr>
        <w:t>1 April 20</w:t>
      </w:r>
      <w:r w:rsidR="0065584D">
        <w:rPr>
          <w:rFonts w:ascii="Arial" w:hAnsi="Arial" w:cs="Arial"/>
        </w:rPr>
        <w:t>2</w:t>
      </w:r>
      <w:r w:rsidR="007A1E0A">
        <w:rPr>
          <w:rFonts w:ascii="Arial" w:hAnsi="Arial" w:cs="Arial"/>
        </w:rPr>
        <w:t>4</w:t>
      </w:r>
      <w:r w:rsidR="00912530">
        <w:rPr>
          <w:rFonts w:ascii="Arial" w:hAnsi="Arial" w:cs="Arial"/>
        </w:rPr>
        <w:t xml:space="preserve"> </w:t>
      </w:r>
      <w:r w:rsidR="00EF6048">
        <w:rPr>
          <w:rFonts w:ascii="Arial" w:hAnsi="Arial" w:cs="Arial"/>
        </w:rPr>
        <w:t>–</w:t>
      </w:r>
      <w:r w:rsidR="00912530">
        <w:rPr>
          <w:rFonts w:ascii="Arial" w:hAnsi="Arial" w:cs="Arial"/>
        </w:rPr>
        <w:t xml:space="preserve"> </w:t>
      </w:r>
      <w:r w:rsidR="007A1E0A">
        <w:rPr>
          <w:rFonts w:ascii="Arial" w:hAnsi="Arial" w:cs="Arial"/>
        </w:rPr>
        <w:t xml:space="preserve">30 </w:t>
      </w:r>
      <w:r w:rsidR="00624220">
        <w:rPr>
          <w:rFonts w:ascii="Arial" w:hAnsi="Arial" w:cs="Arial"/>
        </w:rPr>
        <w:t>September</w:t>
      </w:r>
      <w:r w:rsidR="007A1E0A">
        <w:rPr>
          <w:rFonts w:ascii="Arial" w:hAnsi="Arial" w:cs="Arial"/>
        </w:rPr>
        <w:t xml:space="preserve"> 2024</w:t>
      </w:r>
    </w:p>
    <w:p w14:paraId="683B6C47" w14:textId="77777777" w:rsidR="00EE6BF5" w:rsidRDefault="00EE6BF5" w:rsidP="007D538B">
      <w:pPr>
        <w:rPr>
          <w:rFonts w:ascii="Arial" w:hAnsi="Arial" w:cs="Arial"/>
        </w:rPr>
      </w:pPr>
    </w:p>
    <w:p w14:paraId="4AB5DAD3" w14:textId="77777777" w:rsidR="00EE6BF5" w:rsidRDefault="00EE6BF5" w:rsidP="007D53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Professional Standards Departments </w:t>
      </w:r>
      <w:r w:rsidR="00816A86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wish to comment on the figures presented in the</w:t>
      </w:r>
      <w:r w:rsidR="00353064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</w:t>
      </w:r>
      <w:r w:rsidRPr="00353064">
        <w:rPr>
          <w:rFonts w:ascii="Arial" w:hAnsi="Arial" w:cs="Arial"/>
        </w:rPr>
        <w:t>Police Complaints Information Bulletin</w:t>
      </w:r>
      <w:r>
        <w:rPr>
          <w:rFonts w:ascii="Arial" w:hAnsi="Arial" w:cs="Arial"/>
        </w:rPr>
        <w:t>. This sheet provides a standard format to do this for the above time period.</w:t>
      </w:r>
      <w:r w:rsidR="0016340A">
        <w:rPr>
          <w:rFonts w:ascii="Arial" w:hAnsi="Arial" w:cs="Arial"/>
        </w:rPr>
        <w:t xml:space="preserve"> There is also a general comments box </w:t>
      </w:r>
      <w:r w:rsidR="00C34E94">
        <w:rPr>
          <w:rFonts w:ascii="Arial" w:hAnsi="Arial" w:cs="Arial"/>
        </w:rPr>
        <w:t>for</w:t>
      </w:r>
      <w:r w:rsidR="0016340A">
        <w:rPr>
          <w:rFonts w:ascii="Arial" w:hAnsi="Arial" w:cs="Arial"/>
        </w:rPr>
        <w:t xml:space="preserve"> q</w:t>
      </w:r>
      <w:r w:rsidR="00BC69B6">
        <w:rPr>
          <w:rFonts w:ascii="Arial" w:hAnsi="Arial" w:cs="Arial"/>
        </w:rPr>
        <w:t>uestions or comments about the B</w:t>
      </w:r>
      <w:r w:rsidR="0016340A">
        <w:rPr>
          <w:rFonts w:ascii="Arial" w:hAnsi="Arial" w:cs="Arial"/>
        </w:rPr>
        <w:t>ulletin.</w:t>
      </w:r>
    </w:p>
    <w:p w14:paraId="3D98B43C" w14:textId="77777777" w:rsidR="00EE6BF5" w:rsidRDefault="00EE6BF5" w:rsidP="007D538B">
      <w:pPr>
        <w:rPr>
          <w:rFonts w:ascii="Arial" w:hAnsi="Arial" w:cs="Arial"/>
        </w:rPr>
      </w:pPr>
    </w:p>
    <w:p w14:paraId="264724A3" w14:textId="08C3409F" w:rsidR="00EE6BF5" w:rsidRDefault="00816A86" w:rsidP="007D538B">
      <w:pPr>
        <w:rPr>
          <w:rFonts w:ascii="Arial" w:hAnsi="Arial" w:cs="Arial"/>
        </w:rPr>
      </w:pPr>
      <w:r>
        <w:rPr>
          <w:rFonts w:ascii="Arial" w:hAnsi="Arial" w:cs="Arial"/>
        </w:rPr>
        <w:t>Each b</w:t>
      </w:r>
      <w:r w:rsidR="00EE6BF5">
        <w:rPr>
          <w:rFonts w:ascii="Arial" w:hAnsi="Arial" w:cs="Arial"/>
        </w:rPr>
        <w:t xml:space="preserve">ulletin contains a large amount of </w:t>
      </w:r>
      <w:r>
        <w:rPr>
          <w:rFonts w:ascii="Arial" w:hAnsi="Arial" w:cs="Arial"/>
        </w:rPr>
        <w:t>information;</w:t>
      </w:r>
      <w:r w:rsidR="00EE6BF5">
        <w:rPr>
          <w:rFonts w:ascii="Arial" w:hAnsi="Arial" w:cs="Arial"/>
        </w:rPr>
        <w:t xml:space="preserve"> </w:t>
      </w:r>
      <w:r w:rsidR="0048539F">
        <w:rPr>
          <w:rFonts w:ascii="Arial" w:hAnsi="Arial" w:cs="Arial"/>
        </w:rPr>
        <w:t>therefore,</w:t>
      </w:r>
      <w:r w:rsidR="00EE6BF5">
        <w:rPr>
          <w:rFonts w:ascii="Arial" w:hAnsi="Arial" w:cs="Arial"/>
        </w:rPr>
        <w:t xml:space="preserve"> you may wish to focus your comments on key </w:t>
      </w:r>
      <w:r w:rsidR="0048539F">
        <w:rPr>
          <w:rFonts w:ascii="Arial" w:hAnsi="Arial" w:cs="Arial"/>
        </w:rPr>
        <w:t>areas</w:t>
      </w:r>
      <w:r w:rsidR="00B8741D">
        <w:rPr>
          <w:rFonts w:ascii="Arial" w:hAnsi="Arial" w:cs="Arial"/>
        </w:rPr>
        <w:t>.</w:t>
      </w:r>
      <w:r w:rsidR="00EE6BF5">
        <w:rPr>
          <w:rFonts w:ascii="Arial" w:hAnsi="Arial" w:cs="Arial"/>
        </w:rPr>
        <w:t xml:space="preserve"> For example, </w:t>
      </w:r>
      <w:r w:rsidR="00B8741D">
        <w:rPr>
          <w:rFonts w:ascii="Arial" w:hAnsi="Arial" w:cs="Arial"/>
        </w:rPr>
        <w:t xml:space="preserve">the aims of the reforms included easier access and a system focussed on learning, does the </w:t>
      </w:r>
      <w:r w:rsidR="0048539F">
        <w:rPr>
          <w:rFonts w:ascii="Arial" w:hAnsi="Arial" w:cs="Arial"/>
        </w:rPr>
        <w:t>data support</w:t>
      </w:r>
      <w:r w:rsidR="00B8741D">
        <w:rPr>
          <w:rFonts w:ascii="Arial" w:hAnsi="Arial" w:cs="Arial"/>
        </w:rPr>
        <w:t xml:space="preserve"> this</w:t>
      </w:r>
      <w:r w:rsidR="00936AE6">
        <w:rPr>
          <w:rFonts w:ascii="Arial" w:hAnsi="Arial" w:cs="Arial"/>
        </w:rPr>
        <w:t>? W</w:t>
      </w:r>
      <w:r w:rsidR="00B8741D">
        <w:rPr>
          <w:rFonts w:ascii="Arial" w:hAnsi="Arial" w:cs="Arial"/>
        </w:rPr>
        <w:t xml:space="preserve">hy do figures for your force differ when compared to the most similar force average or national result? </w:t>
      </w:r>
      <w:r w:rsidR="00EE6BF5">
        <w:rPr>
          <w:rFonts w:ascii="Arial" w:hAnsi="Arial" w:cs="Arial"/>
        </w:rPr>
        <w:t xml:space="preserve"> There may be a number of reasons for </w:t>
      </w:r>
      <w:r w:rsidR="00936AE6">
        <w:rPr>
          <w:rFonts w:ascii="Arial" w:hAnsi="Arial" w:cs="Arial"/>
        </w:rPr>
        <w:t>differences,</w:t>
      </w:r>
      <w:r w:rsidR="00EE6BF5">
        <w:rPr>
          <w:rFonts w:ascii="Arial" w:hAnsi="Arial" w:cs="Arial"/>
        </w:rPr>
        <w:t xml:space="preserve"> and they may include the following examples:</w:t>
      </w:r>
    </w:p>
    <w:p w14:paraId="12553598" w14:textId="77777777" w:rsidR="006D4962" w:rsidRDefault="006D4962" w:rsidP="007D538B">
      <w:pPr>
        <w:rPr>
          <w:rFonts w:ascii="Arial" w:hAnsi="Arial" w:cs="Arial"/>
        </w:rPr>
      </w:pPr>
    </w:p>
    <w:p w14:paraId="69F5BA6B" w14:textId="53A017B1" w:rsidR="00EE6BF5" w:rsidRDefault="00EE6BF5" w:rsidP="001828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changes in resources to handle </w:t>
      </w:r>
      <w:proofErr w:type="gramStart"/>
      <w:r>
        <w:rPr>
          <w:rFonts w:ascii="Arial" w:hAnsi="Arial" w:cs="Arial"/>
        </w:rPr>
        <w:t>complaints;</w:t>
      </w:r>
      <w:proofErr w:type="gramEnd"/>
    </w:p>
    <w:p w14:paraId="12FD8F8A" w14:textId="77777777" w:rsidR="00EE6BF5" w:rsidRDefault="00EE6BF5" w:rsidP="001828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changes in how complaints are being </w:t>
      </w:r>
      <w:proofErr w:type="gramStart"/>
      <w:r>
        <w:rPr>
          <w:rFonts w:ascii="Arial" w:hAnsi="Arial" w:cs="Arial"/>
        </w:rPr>
        <w:t>managed;</w:t>
      </w:r>
      <w:proofErr w:type="gramEnd"/>
    </w:p>
    <w:p w14:paraId="24784D7E" w14:textId="77777777" w:rsidR="00EE6BF5" w:rsidRDefault="00EE6BF5" w:rsidP="001828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wider activities within the force that have an impact on the number and type of complaints received.</w:t>
      </w:r>
    </w:p>
    <w:p w14:paraId="3641A2A1" w14:textId="77777777" w:rsidR="00EE6BF5" w:rsidRDefault="00EE6BF5" w:rsidP="007D538B">
      <w:pPr>
        <w:rPr>
          <w:rFonts w:ascii="Arial" w:hAnsi="Arial" w:cs="Arial"/>
        </w:rPr>
      </w:pPr>
    </w:p>
    <w:p w14:paraId="0F08DBC0" w14:textId="77777777" w:rsidR="00EE6BF5" w:rsidRDefault="00EE6BF5" w:rsidP="007D538B">
      <w:pPr>
        <w:rPr>
          <w:rFonts w:ascii="Arial" w:hAnsi="Arial" w:cs="Arial"/>
        </w:rPr>
      </w:pPr>
      <w:r>
        <w:rPr>
          <w:rFonts w:ascii="Arial" w:hAnsi="Arial" w:cs="Arial"/>
        </w:rPr>
        <w:t>The I</w:t>
      </w:r>
      <w:r w:rsidR="00912530">
        <w:rPr>
          <w:rFonts w:ascii="Arial" w:hAnsi="Arial" w:cs="Arial"/>
        </w:rPr>
        <w:t>OPC</w:t>
      </w:r>
      <w:r>
        <w:rPr>
          <w:rFonts w:ascii="Arial" w:hAnsi="Arial" w:cs="Arial"/>
        </w:rPr>
        <w:t xml:space="preserve"> is keen to see your commentary and would be grateful if you could send your completed sheet to</w:t>
      </w:r>
      <w:r w:rsidR="00E17C8B">
        <w:rPr>
          <w:rFonts w:ascii="Arial" w:hAnsi="Arial" w:cs="Arial"/>
        </w:rPr>
        <w:t xml:space="preserve"> </w:t>
      </w:r>
      <w:hyperlink r:id="rId5" w:history="1">
        <w:r w:rsidR="00D377BB" w:rsidRPr="00425990">
          <w:rPr>
            <w:rStyle w:val="Hyperlink"/>
            <w:rFonts w:ascii="Arial" w:hAnsi="Arial" w:cs="Arial"/>
          </w:rPr>
          <w:t>performance.framework@policeconduct.gov.uk</w:t>
        </w:r>
      </w:hyperlink>
      <w:r w:rsidR="00E17C8B">
        <w:rPr>
          <w:rFonts w:ascii="Arial" w:hAnsi="Arial" w:cs="Arial"/>
        </w:rPr>
        <w:t xml:space="preserve"> </w:t>
      </w:r>
      <w:r w:rsidR="00BC69B6" w:rsidRPr="00E17C8B">
        <w:rPr>
          <w:rFonts w:ascii="Arial" w:hAnsi="Arial" w:cs="Arial"/>
        </w:rPr>
        <w:t xml:space="preserve">The </w:t>
      </w:r>
      <w:r w:rsidR="00912530">
        <w:rPr>
          <w:rFonts w:ascii="Arial" w:hAnsi="Arial" w:cs="Arial"/>
        </w:rPr>
        <w:t>IOPC</w:t>
      </w:r>
      <w:r w:rsidR="00BC69B6" w:rsidRPr="00E17C8B">
        <w:rPr>
          <w:rFonts w:ascii="Arial" w:hAnsi="Arial" w:cs="Arial"/>
        </w:rPr>
        <w:t xml:space="preserve"> will edit commentary sheets </w:t>
      </w:r>
      <w:r w:rsidR="00E17C8B" w:rsidRPr="00E17C8B">
        <w:rPr>
          <w:rFonts w:ascii="Arial" w:hAnsi="Arial" w:cs="Arial"/>
        </w:rPr>
        <w:t xml:space="preserve">before they are placed on the </w:t>
      </w:r>
      <w:r w:rsidR="00912530">
        <w:rPr>
          <w:rFonts w:ascii="Arial" w:hAnsi="Arial" w:cs="Arial"/>
        </w:rPr>
        <w:t>IOPC</w:t>
      </w:r>
      <w:r w:rsidR="00E17C8B" w:rsidRPr="00E17C8B">
        <w:rPr>
          <w:rFonts w:ascii="Arial" w:hAnsi="Arial" w:cs="Arial"/>
        </w:rPr>
        <w:t xml:space="preserve"> website</w:t>
      </w:r>
      <w:r w:rsidR="00BC69B6" w:rsidRPr="00E17C8B">
        <w:rPr>
          <w:rFonts w:ascii="Arial" w:hAnsi="Arial" w:cs="Arial"/>
        </w:rPr>
        <w:t xml:space="preserve"> to remove these explanatory notes </w:t>
      </w:r>
      <w:r w:rsidR="00E17C8B" w:rsidRPr="00E17C8B">
        <w:rPr>
          <w:rFonts w:ascii="Arial" w:hAnsi="Arial" w:cs="Arial"/>
        </w:rPr>
        <w:t>and any general comments</w:t>
      </w:r>
      <w:r w:rsidR="00BC69B6" w:rsidRPr="00E17C8B">
        <w:rPr>
          <w:rFonts w:ascii="Arial" w:hAnsi="Arial" w:cs="Arial"/>
        </w:rPr>
        <w:t>.  We will not edit the commentary itself.</w:t>
      </w:r>
    </w:p>
    <w:p w14:paraId="61E2FF62" w14:textId="77777777" w:rsidR="00EE6BF5" w:rsidRDefault="00EE6BF5" w:rsidP="00AE4E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E6BF5" w14:paraId="045DAC91" w14:textId="77777777" w:rsidTr="007404FE">
        <w:trPr>
          <w:trHeight w:val="6082"/>
        </w:trPr>
        <w:tc>
          <w:tcPr>
            <w:tcW w:w="8522" w:type="dxa"/>
          </w:tcPr>
          <w:p w14:paraId="5C6C3A00" w14:textId="77777777" w:rsidR="00EE6BF5" w:rsidRPr="0011253F" w:rsidRDefault="00EE6BF5" w:rsidP="007D538B">
            <w:pPr>
              <w:rPr>
                <w:rFonts w:ascii="Arial" w:hAnsi="Arial" w:cs="Arial"/>
              </w:rPr>
            </w:pPr>
            <w:r w:rsidRPr="0011253F">
              <w:rPr>
                <w:rFonts w:ascii="Arial" w:hAnsi="Arial" w:cs="Arial"/>
                <w:b/>
              </w:rPr>
              <w:t>Commentary:</w:t>
            </w:r>
            <w:r w:rsidRPr="0011253F">
              <w:rPr>
                <w:rFonts w:ascii="Arial" w:hAnsi="Arial" w:cs="Arial"/>
              </w:rPr>
              <w:t xml:space="preserve">   </w:t>
            </w:r>
          </w:p>
          <w:p w14:paraId="4779A2CB" w14:textId="77777777" w:rsidR="003D185E" w:rsidRDefault="00587583" w:rsidP="00141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Surrey Police maintains a strong position in relation to the logging of public complaints</w:t>
            </w:r>
            <w:r w:rsidR="006B6372">
              <w:rPr>
                <w:rFonts w:ascii="Arial" w:hAnsi="Arial" w:cs="Arial"/>
              </w:rPr>
              <w:t xml:space="preserve"> (section A1.1)</w:t>
            </w:r>
            <w:r>
              <w:rPr>
                <w:rFonts w:ascii="Arial" w:hAnsi="Arial" w:cs="Arial"/>
              </w:rPr>
              <w:t xml:space="preserve">, averaging 1 day which is lower than most similar forces and national averages. </w:t>
            </w:r>
          </w:p>
          <w:p w14:paraId="30DA1C28" w14:textId="77777777" w:rsidR="003D185E" w:rsidRDefault="003D185E" w:rsidP="00141B6C">
            <w:pPr>
              <w:jc w:val="both"/>
              <w:rPr>
                <w:rFonts w:ascii="Arial" w:hAnsi="Arial" w:cs="Arial"/>
              </w:rPr>
            </w:pPr>
          </w:p>
          <w:p w14:paraId="4160BDD9" w14:textId="20672A9A" w:rsidR="00587583" w:rsidRDefault="00587583" w:rsidP="00141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days to contact a complainant has risen slightly to 5 days, which remains below the national average. </w:t>
            </w:r>
          </w:p>
          <w:p w14:paraId="7E521755" w14:textId="77777777" w:rsidR="003D185E" w:rsidRDefault="003D185E" w:rsidP="00141B6C">
            <w:pPr>
              <w:jc w:val="both"/>
              <w:rPr>
                <w:rFonts w:ascii="Arial" w:hAnsi="Arial" w:cs="Arial"/>
              </w:rPr>
            </w:pPr>
          </w:p>
          <w:p w14:paraId="3EFA0551" w14:textId="7A368EFA" w:rsidR="007169D6" w:rsidRDefault="00587583" w:rsidP="00141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Surrey Police continues to log higher numbers of complaints and allegations than this time last year </w:t>
            </w:r>
            <w:r w:rsidR="001D2E15">
              <w:rPr>
                <w:rFonts w:ascii="Arial" w:hAnsi="Arial" w:cs="Arial"/>
              </w:rPr>
              <w:t xml:space="preserve">(SPLY) </w:t>
            </w:r>
            <w:r>
              <w:rPr>
                <w:rFonts w:ascii="Arial" w:hAnsi="Arial" w:cs="Arial"/>
              </w:rPr>
              <w:t>and most similar forces</w:t>
            </w:r>
            <w:r w:rsidR="00552606">
              <w:rPr>
                <w:rFonts w:ascii="Arial" w:hAnsi="Arial" w:cs="Arial"/>
              </w:rPr>
              <w:t xml:space="preserve"> (MSF)</w:t>
            </w:r>
            <w:r>
              <w:rPr>
                <w:rFonts w:ascii="Arial" w:hAnsi="Arial" w:cs="Arial"/>
              </w:rPr>
              <w:t xml:space="preserve">, but the figures suggest complaint handler training is starting to take effect with Q2 figures </w:t>
            </w:r>
            <w:r w:rsidR="00843DA1">
              <w:rPr>
                <w:rFonts w:ascii="Arial" w:hAnsi="Arial" w:cs="Arial"/>
              </w:rPr>
              <w:t xml:space="preserve">showing a 19% increase since this time last year, compared to a 23% increase in Q1 compared to </w:t>
            </w:r>
            <w:r w:rsidR="003D185E">
              <w:rPr>
                <w:rFonts w:ascii="Arial" w:hAnsi="Arial" w:cs="Arial"/>
              </w:rPr>
              <w:t xml:space="preserve">previous </w:t>
            </w:r>
            <w:r w:rsidR="00843DA1">
              <w:rPr>
                <w:rFonts w:ascii="Arial" w:hAnsi="Arial" w:cs="Arial"/>
              </w:rPr>
              <w:t xml:space="preserve">year. Further training and signposting to be undertaken. </w:t>
            </w:r>
          </w:p>
          <w:p w14:paraId="38B2C645" w14:textId="77777777" w:rsidR="003D185E" w:rsidRDefault="003D185E" w:rsidP="00141B6C">
            <w:pPr>
              <w:jc w:val="both"/>
              <w:rPr>
                <w:rFonts w:ascii="Arial" w:hAnsi="Arial" w:cs="Arial"/>
              </w:rPr>
            </w:pPr>
          </w:p>
          <w:p w14:paraId="26094454" w14:textId="77777777" w:rsidR="003D185E" w:rsidRDefault="00843DA1" w:rsidP="00141B6C">
            <w:pPr>
              <w:jc w:val="both"/>
              <w:rPr>
                <w:rFonts w:ascii="Arial" w:hAnsi="Arial" w:cs="Arial"/>
              </w:rPr>
            </w:pPr>
            <w:r w:rsidRPr="00843DA1">
              <w:rPr>
                <w:rFonts w:ascii="Arial" w:hAnsi="Arial" w:cs="Arial"/>
              </w:rPr>
              <w:t xml:space="preserve">The percentage of cases </w:t>
            </w:r>
            <w:r w:rsidR="001D2E15">
              <w:rPr>
                <w:rFonts w:ascii="Arial" w:hAnsi="Arial" w:cs="Arial"/>
              </w:rPr>
              <w:t>recorded</w:t>
            </w:r>
            <w:r w:rsidRPr="00843DA1">
              <w:rPr>
                <w:rFonts w:ascii="Arial" w:hAnsi="Arial" w:cs="Arial"/>
              </w:rPr>
              <w:t xml:space="preserve"> under Schedule 3 </w:t>
            </w:r>
            <w:r w:rsidR="001D2E15">
              <w:rPr>
                <w:rFonts w:ascii="Arial" w:hAnsi="Arial" w:cs="Arial"/>
              </w:rPr>
              <w:t xml:space="preserve">(section A1.2) </w:t>
            </w:r>
            <w:r w:rsidRPr="00843DA1">
              <w:rPr>
                <w:rFonts w:ascii="Arial" w:hAnsi="Arial" w:cs="Arial"/>
              </w:rPr>
              <w:t xml:space="preserve">and recorded as ‘Dissatisfaction after initial handling’ has again reduced </w:t>
            </w:r>
            <w:r>
              <w:rPr>
                <w:rFonts w:ascii="Arial" w:hAnsi="Arial" w:cs="Arial"/>
              </w:rPr>
              <w:t>from</w:t>
            </w:r>
            <w:r w:rsidRPr="00843DA1">
              <w:rPr>
                <w:rFonts w:ascii="Arial" w:hAnsi="Arial" w:cs="Arial"/>
              </w:rPr>
              <w:t xml:space="preserve"> </w:t>
            </w:r>
            <w:r w:rsidR="00234319">
              <w:rPr>
                <w:rFonts w:ascii="Arial" w:hAnsi="Arial" w:cs="Arial"/>
              </w:rPr>
              <w:t>34</w:t>
            </w:r>
            <w:r w:rsidRPr="00843DA1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to</w:t>
            </w:r>
            <w:r w:rsidRPr="00843D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</w:t>
            </w:r>
            <w:r w:rsidRPr="00843DA1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which </w:t>
            </w:r>
            <w:r w:rsidR="00041F24">
              <w:rPr>
                <w:rFonts w:ascii="Arial" w:hAnsi="Arial" w:cs="Arial"/>
              </w:rPr>
              <w:t xml:space="preserve">suggests that </w:t>
            </w:r>
            <w:r w:rsidR="00E16686">
              <w:rPr>
                <w:rFonts w:ascii="Arial" w:hAnsi="Arial" w:cs="Arial"/>
              </w:rPr>
              <w:t xml:space="preserve">more </w:t>
            </w:r>
            <w:r w:rsidR="00B0140B">
              <w:rPr>
                <w:rFonts w:ascii="Arial" w:hAnsi="Arial" w:cs="Arial"/>
              </w:rPr>
              <w:t>complaint</w:t>
            </w:r>
            <w:r w:rsidR="002B5AEC">
              <w:rPr>
                <w:rFonts w:ascii="Arial" w:hAnsi="Arial" w:cs="Arial"/>
              </w:rPr>
              <w:t xml:space="preserve">s are </w:t>
            </w:r>
            <w:r w:rsidR="00E16686">
              <w:rPr>
                <w:rFonts w:ascii="Arial" w:hAnsi="Arial" w:cs="Arial"/>
              </w:rPr>
              <w:t xml:space="preserve">being successfully resolved at first </w:t>
            </w:r>
            <w:r w:rsidR="008050C6">
              <w:rPr>
                <w:rFonts w:ascii="Arial" w:hAnsi="Arial" w:cs="Arial"/>
              </w:rPr>
              <w:t xml:space="preserve">contact. </w:t>
            </w:r>
          </w:p>
          <w:p w14:paraId="26539832" w14:textId="77777777" w:rsidR="003D185E" w:rsidRDefault="003D185E" w:rsidP="00141B6C">
            <w:pPr>
              <w:jc w:val="both"/>
              <w:rPr>
                <w:rFonts w:ascii="Arial" w:hAnsi="Arial" w:cs="Arial"/>
              </w:rPr>
            </w:pPr>
          </w:p>
          <w:p w14:paraId="30299E47" w14:textId="4C8F08DB" w:rsidR="00843DA1" w:rsidRDefault="00F11E6D" w:rsidP="00141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reviewing the low figure compared to </w:t>
            </w:r>
            <w:proofErr w:type="gramStart"/>
            <w:r>
              <w:rPr>
                <w:rFonts w:ascii="Arial" w:hAnsi="Arial" w:cs="Arial"/>
              </w:rPr>
              <w:t>MSF’s</w:t>
            </w:r>
            <w:proofErr w:type="gramEnd"/>
            <w:r>
              <w:rPr>
                <w:rFonts w:ascii="Arial" w:hAnsi="Arial" w:cs="Arial"/>
              </w:rPr>
              <w:t xml:space="preserve"> in relation to </w:t>
            </w:r>
            <w:r w:rsidR="007254C2">
              <w:rPr>
                <w:rFonts w:ascii="Arial" w:hAnsi="Arial" w:cs="Arial"/>
              </w:rPr>
              <w:t>recording matters under the category ‘</w:t>
            </w:r>
            <w:r w:rsidR="007254C2" w:rsidRPr="007254C2">
              <w:rPr>
                <w:rFonts w:ascii="Arial" w:hAnsi="Arial" w:cs="Arial"/>
              </w:rPr>
              <w:t>AA/body responsible for initial handling decides</w:t>
            </w:r>
            <w:r w:rsidR="007254C2">
              <w:rPr>
                <w:rFonts w:ascii="Arial" w:hAnsi="Arial" w:cs="Arial"/>
              </w:rPr>
              <w:t xml:space="preserve">’, the Force is pleased to </w:t>
            </w:r>
            <w:r w:rsidR="00144EA2">
              <w:rPr>
                <w:rFonts w:ascii="Arial" w:hAnsi="Arial" w:cs="Arial"/>
              </w:rPr>
              <w:t>confirm that Surrey Police are recording matters in line with the guidance from the IOPC (Oversight Newsletter September 2024).</w:t>
            </w:r>
          </w:p>
          <w:p w14:paraId="7EB34EA2" w14:textId="58FD8809" w:rsidR="00144EA2" w:rsidRDefault="00802C0B" w:rsidP="00141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figures within the ‘</w:t>
            </w:r>
            <w:r w:rsidR="00B26E37">
              <w:rPr>
                <w:rFonts w:ascii="Arial" w:hAnsi="Arial" w:cs="Arial"/>
              </w:rPr>
              <w:t>allegations logged</w:t>
            </w:r>
            <w:r>
              <w:rPr>
                <w:rFonts w:ascii="Arial" w:hAnsi="Arial" w:cs="Arial"/>
              </w:rPr>
              <w:t xml:space="preserve">’ sections </w:t>
            </w:r>
            <w:r w:rsidR="00B26E37">
              <w:rPr>
                <w:rFonts w:ascii="Arial" w:hAnsi="Arial" w:cs="Arial"/>
              </w:rPr>
              <w:t xml:space="preserve">(A1.3 and A1.4) indicate that Surrey Police is in line with </w:t>
            </w:r>
            <w:r w:rsidR="00B67CCC">
              <w:rPr>
                <w:rFonts w:ascii="Arial" w:hAnsi="Arial" w:cs="Arial"/>
              </w:rPr>
              <w:t>MSF’s</w:t>
            </w:r>
            <w:r w:rsidR="001778A0">
              <w:rPr>
                <w:rFonts w:ascii="Arial" w:hAnsi="Arial" w:cs="Arial"/>
              </w:rPr>
              <w:t xml:space="preserve"> and national averages. </w:t>
            </w:r>
          </w:p>
          <w:p w14:paraId="29FA0EF7" w14:textId="77777777" w:rsidR="003D185E" w:rsidRDefault="003D185E" w:rsidP="00141B6C">
            <w:pPr>
              <w:jc w:val="both"/>
              <w:rPr>
                <w:rFonts w:ascii="Arial" w:hAnsi="Arial" w:cs="Arial"/>
              </w:rPr>
            </w:pPr>
          </w:p>
          <w:p w14:paraId="4FEC41B3" w14:textId="47477A5D" w:rsidR="002037F0" w:rsidRDefault="002037F0" w:rsidP="002037F0">
            <w:pPr>
              <w:jc w:val="both"/>
              <w:rPr>
                <w:rFonts w:ascii="Arial" w:hAnsi="Arial" w:cs="Arial"/>
              </w:rPr>
            </w:pPr>
            <w:r w:rsidRPr="002037F0">
              <w:rPr>
                <w:rFonts w:ascii="Arial" w:hAnsi="Arial" w:cs="Arial"/>
              </w:rPr>
              <w:t xml:space="preserve">There has been a further slight improvement by the Force in reducing the use of the National Factor 'None' category (section A1.5) compared to SPLY, </w:t>
            </w:r>
            <w:r w:rsidR="00B536D5">
              <w:rPr>
                <w:rFonts w:ascii="Arial" w:hAnsi="Arial" w:cs="Arial"/>
              </w:rPr>
              <w:t xml:space="preserve">but </w:t>
            </w:r>
            <w:r w:rsidR="00A31C67">
              <w:rPr>
                <w:rFonts w:ascii="Arial" w:hAnsi="Arial" w:cs="Arial"/>
              </w:rPr>
              <w:t xml:space="preserve">it remains </w:t>
            </w:r>
            <w:r w:rsidR="00B536D5">
              <w:rPr>
                <w:rFonts w:ascii="Arial" w:hAnsi="Arial" w:cs="Arial"/>
              </w:rPr>
              <w:t>high</w:t>
            </w:r>
            <w:r w:rsidR="001B3874">
              <w:rPr>
                <w:rFonts w:ascii="Arial" w:hAnsi="Arial" w:cs="Arial"/>
              </w:rPr>
              <w:t>er than MSF and national, and training will continue</w:t>
            </w:r>
            <w:r w:rsidR="007C1025">
              <w:rPr>
                <w:rFonts w:ascii="Arial" w:hAnsi="Arial" w:cs="Arial"/>
              </w:rPr>
              <w:t xml:space="preserve"> with the complaint handlers.</w:t>
            </w:r>
          </w:p>
          <w:p w14:paraId="62D66675" w14:textId="77777777" w:rsidR="003D185E" w:rsidRDefault="003D185E" w:rsidP="002037F0">
            <w:pPr>
              <w:jc w:val="both"/>
              <w:rPr>
                <w:rFonts w:ascii="Arial" w:hAnsi="Arial" w:cs="Arial"/>
              </w:rPr>
            </w:pPr>
          </w:p>
          <w:p w14:paraId="0FB778A3" w14:textId="640F8F59" w:rsidR="001778A0" w:rsidRDefault="003D185E" w:rsidP="00141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Force </w:t>
            </w:r>
            <w:r w:rsidR="00BA7C72">
              <w:rPr>
                <w:rFonts w:ascii="Arial" w:hAnsi="Arial" w:cs="Arial"/>
              </w:rPr>
              <w:t>continue</w:t>
            </w:r>
            <w:r>
              <w:rPr>
                <w:rFonts w:ascii="Arial" w:hAnsi="Arial" w:cs="Arial"/>
              </w:rPr>
              <w:t>s</w:t>
            </w:r>
            <w:r w:rsidR="00BA7C72">
              <w:rPr>
                <w:rFonts w:ascii="Arial" w:hAnsi="Arial" w:cs="Arial"/>
              </w:rPr>
              <w:t xml:space="preserve"> to see </w:t>
            </w:r>
            <w:r w:rsidR="005C0CF3">
              <w:rPr>
                <w:rFonts w:ascii="Arial" w:hAnsi="Arial" w:cs="Arial"/>
              </w:rPr>
              <w:t xml:space="preserve">below average timeliness (section A2 and D2) </w:t>
            </w:r>
            <w:r w:rsidR="00747C16">
              <w:rPr>
                <w:rFonts w:ascii="Arial" w:hAnsi="Arial" w:cs="Arial"/>
              </w:rPr>
              <w:t xml:space="preserve">in handling complaints outside Schedule 3 against MSF and national averages, </w:t>
            </w:r>
            <w:r w:rsidR="00FB408F">
              <w:rPr>
                <w:rFonts w:ascii="Arial" w:hAnsi="Arial" w:cs="Arial"/>
              </w:rPr>
              <w:t xml:space="preserve">with </w:t>
            </w:r>
            <w:r w:rsidR="00E97E18">
              <w:rPr>
                <w:rFonts w:ascii="Arial" w:hAnsi="Arial" w:cs="Arial"/>
              </w:rPr>
              <w:t xml:space="preserve">335 more complaints being finalised. </w:t>
            </w:r>
            <w:r w:rsidR="00646B52">
              <w:rPr>
                <w:rFonts w:ascii="Arial" w:hAnsi="Arial" w:cs="Arial"/>
              </w:rPr>
              <w:t>F</w:t>
            </w:r>
            <w:r w:rsidR="002466F6">
              <w:rPr>
                <w:rFonts w:ascii="Arial" w:hAnsi="Arial" w:cs="Arial"/>
              </w:rPr>
              <w:t xml:space="preserve">or inside Schedule 3 </w:t>
            </w:r>
            <w:r w:rsidR="00180D33">
              <w:rPr>
                <w:rFonts w:ascii="Arial" w:hAnsi="Arial" w:cs="Arial"/>
              </w:rPr>
              <w:t>complaints (</w:t>
            </w:r>
            <w:r w:rsidR="00C75DAD">
              <w:rPr>
                <w:rFonts w:ascii="Arial" w:hAnsi="Arial" w:cs="Arial"/>
              </w:rPr>
              <w:t>section A2 and D1</w:t>
            </w:r>
            <w:r w:rsidR="00180D3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the Force is</w:t>
            </w:r>
            <w:r w:rsidR="002C7C00">
              <w:rPr>
                <w:rFonts w:ascii="Arial" w:hAnsi="Arial" w:cs="Arial"/>
              </w:rPr>
              <w:t xml:space="preserve"> below average timeliness </w:t>
            </w:r>
            <w:r w:rsidR="00E84D4D">
              <w:rPr>
                <w:rFonts w:ascii="Arial" w:hAnsi="Arial" w:cs="Arial"/>
              </w:rPr>
              <w:t xml:space="preserve">against </w:t>
            </w:r>
            <w:r w:rsidR="002C7C00">
              <w:rPr>
                <w:rFonts w:ascii="Arial" w:hAnsi="Arial" w:cs="Arial"/>
              </w:rPr>
              <w:t xml:space="preserve">the </w:t>
            </w:r>
            <w:r w:rsidR="00E84D4D">
              <w:rPr>
                <w:rFonts w:ascii="Arial" w:hAnsi="Arial" w:cs="Arial"/>
              </w:rPr>
              <w:t>national average.</w:t>
            </w:r>
            <w:r w:rsidR="00AD5BA8">
              <w:rPr>
                <w:rFonts w:ascii="Arial" w:hAnsi="Arial" w:cs="Arial"/>
              </w:rPr>
              <w:t xml:space="preserve"> </w:t>
            </w:r>
            <w:r w:rsidR="006E200E">
              <w:rPr>
                <w:rFonts w:ascii="Arial" w:hAnsi="Arial" w:cs="Arial"/>
              </w:rPr>
              <w:t>Breaking this down into</w:t>
            </w:r>
            <w:r w:rsidR="00AD5BA8">
              <w:rPr>
                <w:rFonts w:ascii="Arial" w:hAnsi="Arial" w:cs="Arial"/>
              </w:rPr>
              <w:t xml:space="preserve"> </w:t>
            </w:r>
            <w:r w:rsidR="006E200E">
              <w:rPr>
                <w:rFonts w:ascii="Arial" w:hAnsi="Arial" w:cs="Arial"/>
              </w:rPr>
              <w:t>the sub-categories</w:t>
            </w:r>
            <w:r w:rsidR="00BF0805">
              <w:rPr>
                <w:rFonts w:ascii="Arial" w:hAnsi="Arial" w:cs="Arial"/>
              </w:rPr>
              <w:t>,</w:t>
            </w:r>
            <w:r w:rsidR="006E200E">
              <w:rPr>
                <w:rFonts w:ascii="Arial" w:hAnsi="Arial" w:cs="Arial"/>
              </w:rPr>
              <w:t xml:space="preserve"> </w:t>
            </w:r>
            <w:r w:rsidR="00E021BF">
              <w:rPr>
                <w:rFonts w:ascii="Arial" w:hAnsi="Arial" w:cs="Arial"/>
              </w:rPr>
              <w:t>th</w:t>
            </w:r>
            <w:r w:rsidR="00F26B61">
              <w:rPr>
                <w:rFonts w:ascii="Arial" w:hAnsi="Arial" w:cs="Arial"/>
              </w:rPr>
              <w:t xml:space="preserve">e figures suggest that investigations </w:t>
            </w:r>
            <w:r w:rsidR="00E219B7">
              <w:rPr>
                <w:rFonts w:ascii="Arial" w:hAnsi="Arial" w:cs="Arial"/>
              </w:rPr>
              <w:t xml:space="preserve">subject of special procedures are taking longer on average than national and MSF averages. </w:t>
            </w:r>
            <w:r w:rsidR="00AF1636">
              <w:rPr>
                <w:rFonts w:ascii="Arial" w:hAnsi="Arial" w:cs="Arial"/>
              </w:rPr>
              <w:t xml:space="preserve">As the number of cases in this category </w:t>
            </w:r>
            <w:r w:rsidR="00BD3E7A">
              <w:rPr>
                <w:rFonts w:ascii="Arial" w:hAnsi="Arial" w:cs="Arial"/>
              </w:rPr>
              <w:t>is low, f</w:t>
            </w:r>
            <w:r w:rsidR="00B15955">
              <w:rPr>
                <w:rFonts w:ascii="Arial" w:hAnsi="Arial" w:cs="Arial"/>
              </w:rPr>
              <w:t>urther scrutiny</w:t>
            </w:r>
            <w:r w:rsidR="00AF1636">
              <w:rPr>
                <w:rFonts w:ascii="Arial" w:hAnsi="Arial" w:cs="Arial"/>
              </w:rPr>
              <w:t xml:space="preserve"> will be undertaken</w:t>
            </w:r>
            <w:r w:rsidR="00BD3E7A">
              <w:rPr>
                <w:rFonts w:ascii="Arial" w:hAnsi="Arial" w:cs="Arial"/>
              </w:rPr>
              <w:t>.</w:t>
            </w:r>
          </w:p>
          <w:p w14:paraId="15363883" w14:textId="77777777" w:rsidR="003D185E" w:rsidRDefault="003D185E" w:rsidP="00141B6C">
            <w:pPr>
              <w:jc w:val="both"/>
              <w:rPr>
                <w:rFonts w:ascii="Arial" w:hAnsi="Arial" w:cs="Arial"/>
              </w:rPr>
            </w:pPr>
          </w:p>
          <w:p w14:paraId="43C0D0B5" w14:textId="2DB12D26" w:rsidR="00BD3E7A" w:rsidRDefault="00DF4947" w:rsidP="00141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Surrey Police continue to handle more complaints other than by investigation </w:t>
            </w:r>
            <w:r w:rsidR="00783FCF">
              <w:rPr>
                <w:rFonts w:ascii="Arial" w:hAnsi="Arial" w:cs="Arial"/>
              </w:rPr>
              <w:t xml:space="preserve">compared to MSF (section A3.1) who show higher numbers </w:t>
            </w:r>
            <w:r w:rsidR="00423F26">
              <w:rPr>
                <w:rFonts w:ascii="Arial" w:hAnsi="Arial" w:cs="Arial"/>
              </w:rPr>
              <w:t xml:space="preserve">of matters investigated. It remains that omnicompetent complaint handlers are able to </w:t>
            </w:r>
            <w:proofErr w:type="gramStart"/>
            <w:r w:rsidR="00423F26">
              <w:rPr>
                <w:rFonts w:ascii="Arial" w:hAnsi="Arial" w:cs="Arial"/>
              </w:rPr>
              <w:t>reasonably and proportionately handle complaints</w:t>
            </w:r>
            <w:proofErr w:type="gramEnd"/>
            <w:r w:rsidR="00423F26">
              <w:rPr>
                <w:rFonts w:ascii="Arial" w:hAnsi="Arial" w:cs="Arial"/>
              </w:rPr>
              <w:t xml:space="preserve"> </w:t>
            </w:r>
            <w:r w:rsidR="008D0959">
              <w:rPr>
                <w:rFonts w:ascii="Arial" w:hAnsi="Arial" w:cs="Arial"/>
              </w:rPr>
              <w:t xml:space="preserve">without the need to investigate leading to timelier conclusions. </w:t>
            </w:r>
          </w:p>
          <w:p w14:paraId="3A9B083C" w14:textId="77777777" w:rsidR="003D185E" w:rsidRDefault="003D185E" w:rsidP="00141B6C">
            <w:pPr>
              <w:jc w:val="both"/>
              <w:rPr>
                <w:rFonts w:ascii="Arial" w:hAnsi="Arial" w:cs="Arial"/>
              </w:rPr>
            </w:pPr>
          </w:p>
          <w:p w14:paraId="404AD6C8" w14:textId="77777777" w:rsidR="001B0D52" w:rsidRPr="001B0D52" w:rsidRDefault="001B0D52" w:rsidP="001B0D52">
            <w:pPr>
              <w:jc w:val="both"/>
              <w:rPr>
                <w:rFonts w:ascii="Arial" w:hAnsi="Arial" w:cs="Arial"/>
              </w:rPr>
            </w:pPr>
            <w:r w:rsidRPr="001B0D52">
              <w:rPr>
                <w:rFonts w:ascii="Arial" w:hAnsi="Arial" w:cs="Arial"/>
              </w:rPr>
              <w:t xml:space="preserve">Surrey Police continues to refer more cases to the IOPC than MSF (section E referrals), and whilst in most cases these are returned to the force to handle, the IOPC have ratified these as appropriate. </w:t>
            </w:r>
          </w:p>
          <w:p w14:paraId="121E864F" w14:textId="77777777" w:rsidR="001B0D52" w:rsidRPr="001B0D52" w:rsidRDefault="001B0D52" w:rsidP="001B0D52">
            <w:pPr>
              <w:jc w:val="both"/>
              <w:rPr>
                <w:rFonts w:ascii="Arial" w:hAnsi="Arial" w:cs="Arial"/>
              </w:rPr>
            </w:pPr>
          </w:p>
          <w:p w14:paraId="38133B66" w14:textId="77777777" w:rsidR="001B0D52" w:rsidRPr="001B0D52" w:rsidRDefault="001B0D52" w:rsidP="001B0D52">
            <w:pPr>
              <w:jc w:val="both"/>
              <w:rPr>
                <w:rFonts w:ascii="Arial" w:hAnsi="Arial" w:cs="Arial"/>
              </w:rPr>
            </w:pPr>
            <w:r w:rsidRPr="001B0D52">
              <w:rPr>
                <w:rFonts w:ascii="Arial" w:hAnsi="Arial" w:cs="Arial"/>
              </w:rPr>
              <w:t>Author:  Sonia Holbrook-King</w:t>
            </w:r>
          </w:p>
          <w:p w14:paraId="1E9B7FFA" w14:textId="77777777" w:rsidR="006138F3" w:rsidRDefault="001B0D52" w:rsidP="003D185E">
            <w:pPr>
              <w:jc w:val="both"/>
              <w:rPr>
                <w:rFonts w:ascii="Arial" w:hAnsi="Arial" w:cs="Arial"/>
              </w:rPr>
            </w:pPr>
            <w:r w:rsidRPr="001B0D52">
              <w:rPr>
                <w:rFonts w:ascii="Arial" w:hAnsi="Arial" w:cs="Arial"/>
              </w:rPr>
              <w:t xml:space="preserve">Date:  </w:t>
            </w:r>
            <w:r w:rsidR="00A45A79">
              <w:rPr>
                <w:rFonts w:ascii="Arial" w:hAnsi="Arial" w:cs="Arial"/>
              </w:rPr>
              <w:t>25</w:t>
            </w:r>
            <w:r w:rsidR="00A45A79" w:rsidRPr="00A45A79">
              <w:rPr>
                <w:rFonts w:ascii="Arial" w:hAnsi="Arial" w:cs="Arial"/>
                <w:vertAlign w:val="superscript"/>
              </w:rPr>
              <w:t>th</w:t>
            </w:r>
            <w:r w:rsidR="00A45A79">
              <w:rPr>
                <w:rFonts w:ascii="Arial" w:hAnsi="Arial" w:cs="Arial"/>
              </w:rPr>
              <w:t xml:space="preserve"> November</w:t>
            </w:r>
            <w:r w:rsidRPr="001B0D52">
              <w:rPr>
                <w:rFonts w:ascii="Arial" w:hAnsi="Arial" w:cs="Arial"/>
              </w:rPr>
              <w:t xml:space="preserve"> 2024</w:t>
            </w:r>
          </w:p>
          <w:p w14:paraId="08D0DB76" w14:textId="77777777" w:rsidR="003D185E" w:rsidRDefault="003D185E" w:rsidP="003D185E">
            <w:pPr>
              <w:jc w:val="both"/>
              <w:rPr>
                <w:rFonts w:ascii="Arial" w:hAnsi="Arial" w:cs="Arial"/>
              </w:rPr>
            </w:pPr>
          </w:p>
          <w:p w14:paraId="71880C8F" w14:textId="11C5C9A5" w:rsidR="003D185E" w:rsidRDefault="003D185E" w:rsidP="003D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Agreed with by S. Limbachia </w:t>
            </w:r>
          </w:p>
          <w:p w14:paraId="734CFDBC" w14:textId="77777777" w:rsidR="003D185E" w:rsidRDefault="003D185E" w:rsidP="003D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Head of Complaints </w:t>
            </w:r>
          </w:p>
          <w:p w14:paraId="783131EB" w14:textId="77777777" w:rsidR="003D185E" w:rsidRDefault="003D185E" w:rsidP="003D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Surrey OPCC</w:t>
            </w:r>
          </w:p>
          <w:p w14:paraId="13ECF41D" w14:textId="71BF3800" w:rsidR="003D185E" w:rsidRPr="0011253F" w:rsidRDefault="003D185E" w:rsidP="003D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28/11/24</w:t>
            </w:r>
          </w:p>
        </w:tc>
      </w:tr>
    </w:tbl>
    <w:p w14:paraId="18B1FAB7" w14:textId="77777777" w:rsidR="00EE6BF5" w:rsidRDefault="00EE6BF5" w:rsidP="007D538B">
      <w:pPr>
        <w:rPr>
          <w:rFonts w:ascii="Arial" w:hAnsi="Arial" w:cs="Arial"/>
        </w:rPr>
      </w:pPr>
    </w:p>
    <w:p w14:paraId="7EEBEF41" w14:textId="77777777" w:rsidR="000B3268" w:rsidRPr="0011253F" w:rsidRDefault="000B3268" w:rsidP="000B326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B3268" w14:paraId="4C5CF55D" w14:textId="77777777" w:rsidTr="00A7499F">
        <w:trPr>
          <w:trHeight w:val="6094"/>
        </w:trPr>
        <w:tc>
          <w:tcPr>
            <w:tcW w:w="8460" w:type="dxa"/>
            <w:tcBorders>
              <w:bottom w:val="single" w:sz="4" w:space="0" w:color="auto"/>
            </w:tcBorders>
          </w:tcPr>
          <w:p w14:paraId="3C469A55" w14:textId="77777777" w:rsidR="000B3268" w:rsidRDefault="006D55DB" w:rsidP="007404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comments and feedback</w:t>
            </w:r>
            <w:r w:rsidR="000B3268">
              <w:rPr>
                <w:rFonts w:ascii="Arial" w:hAnsi="Arial" w:cs="Arial"/>
                <w:b/>
              </w:rPr>
              <w:t xml:space="preserve"> </w:t>
            </w:r>
            <w:r w:rsidR="00A36549">
              <w:rPr>
                <w:rFonts w:ascii="Arial" w:hAnsi="Arial" w:cs="Arial"/>
                <w:b/>
              </w:rPr>
              <w:t>about the bulletin</w:t>
            </w:r>
            <w:r w:rsidR="000B3268">
              <w:rPr>
                <w:rFonts w:ascii="Arial" w:hAnsi="Arial" w:cs="Arial"/>
                <w:b/>
              </w:rPr>
              <w:t>:</w:t>
            </w:r>
          </w:p>
          <w:p w14:paraId="7B9B8352" w14:textId="77777777" w:rsidR="00057B78" w:rsidRDefault="00057B78" w:rsidP="007404FE">
            <w:pPr>
              <w:rPr>
                <w:rFonts w:ascii="Arial" w:hAnsi="Arial" w:cs="Arial"/>
                <w:b/>
              </w:rPr>
            </w:pPr>
          </w:p>
          <w:p w14:paraId="1809D5D4" w14:textId="77777777" w:rsidR="00057B78" w:rsidRPr="007404FE" w:rsidRDefault="00057B78" w:rsidP="007404FE">
            <w:pPr>
              <w:rPr>
                <w:rFonts w:ascii="Arial" w:hAnsi="Arial" w:cs="Arial"/>
                <w:b/>
              </w:rPr>
            </w:pPr>
          </w:p>
        </w:tc>
      </w:tr>
    </w:tbl>
    <w:p w14:paraId="253DD857" w14:textId="77777777" w:rsidR="000B3268" w:rsidRPr="00294F31" w:rsidRDefault="000B3268" w:rsidP="007D538B">
      <w:pPr>
        <w:rPr>
          <w:rFonts w:ascii="Arial" w:hAnsi="Arial" w:cs="Arial"/>
        </w:rPr>
      </w:pPr>
    </w:p>
    <w:sectPr w:rsidR="000B3268" w:rsidRPr="00294F31" w:rsidSect="00791B40">
      <w:pgSz w:w="11906" w:h="16838"/>
      <w:pgMar w:top="89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7EB3"/>
    <w:multiLevelType w:val="hybridMultilevel"/>
    <w:tmpl w:val="B96018F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218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31"/>
    <w:rsid w:val="00000A49"/>
    <w:rsid w:val="00026F14"/>
    <w:rsid w:val="0003655E"/>
    <w:rsid w:val="00041F24"/>
    <w:rsid w:val="00042B9D"/>
    <w:rsid w:val="00050548"/>
    <w:rsid w:val="00057B78"/>
    <w:rsid w:val="00066434"/>
    <w:rsid w:val="00083EB7"/>
    <w:rsid w:val="00093224"/>
    <w:rsid w:val="000937FC"/>
    <w:rsid w:val="000A0D2F"/>
    <w:rsid w:val="000A1D4A"/>
    <w:rsid w:val="000B3268"/>
    <w:rsid w:val="000D37A6"/>
    <w:rsid w:val="000D4479"/>
    <w:rsid w:val="000E7C01"/>
    <w:rsid w:val="000F4DAC"/>
    <w:rsid w:val="0011170C"/>
    <w:rsid w:val="00111777"/>
    <w:rsid w:val="0011253F"/>
    <w:rsid w:val="0013734D"/>
    <w:rsid w:val="00137A30"/>
    <w:rsid w:val="00141B6C"/>
    <w:rsid w:val="00144EA2"/>
    <w:rsid w:val="0016340A"/>
    <w:rsid w:val="001668F8"/>
    <w:rsid w:val="00173485"/>
    <w:rsid w:val="001778A0"/>
    <w:rsid w:val="00180D33"/>
    <w:rsid w:val="00181688"/>
    <w:rsid w:val="00182804"/>
    <w:rsid w:val="001B0D52"/>
    <w:rsid w:val="001B3874"/>
    <w:rsid w:val="001C7CAB"/>
    <w:rsid w:val="001D2E15"/>
    <w:rsid w:val="001F095A"/>
    <w:rsid w:val="001F2467"/>
    <w:rsid w:val="001F3D76"/>
    <w:rsid w:val="002037F0"/>
    <w:rsid w:val="0022156A"/>
    <w:rsid w:val="00225142"/>
    <w:rsid w:val="00225515"/>
    <w:rsid w:val="00234319"/>
    <w:rsid w:val="00244557"/>
    <w:rsid w:val="002466F6"/>
    <w:rsid w:val="00254CDD"/>
    <w:rsid w:val="00264B5B"/>
    <w:rsid w:val="00273F7F"/>
    <w:rsid w:val="00283148"/>
    <w:rsid w:val="00294F31"/>
    <w:rsid w:val="002A1FA3"/>
    <w:rsid w:val="002A4DBE"/>
    <w:rsid w:val="002A56B4"/>
    <w:rsid w:val="002B5AEC"/>
    <w:rsid w:val="002C7C00"/>
    <w:rsid w:val="002E2B18"/>
    <w:rsid w:val="0031269B"/>
    <w:rsid w:val="00351333"/>
    <w:rsid w:val="00353064"/>
    <w:rsid w:val="00361D80"/>
    <w:rsid w:val="00371D7E"/>
    <w:rsid w:val="003844B8"/>
    <w:rsid w:val="0039694E"/>
    <w:rsid w:val="003A63DB"/>
    <w:rsid w:val="003D185E"/>
    <w:rsid w:val="003E47DB"/>
    <w:rsid w:val="004200F8"/>
    <w:rsid w:val="00423F26"/>
    <w:rsid w:val="00427B68"/>
    <w:rsid w:val="0043667F"/>
    <w:rsid w:val="00443205"/>
    <w:rsid w:val="00444308"/>
    <w:rsid w:val="0045573D"/>
    <w:rsid w:val="00467FFE"/>
    <w:rsid w:val="00482FDD"/>
    <w:rsid w:val="0048539F"/>
    <w:rsid w:val="00495C88"/>
    <w:rsid w:val="004B3862"/>
    <w:rsid w:val="004D07D0"/>
    <w:rsid w:val="004E0C48"/>
    <w:rsid w:val="00516CC4"/>
    <w:rsid w:val="00544FD6"/>
    <w:rsid w:val="00552606"/>
    <w:rsid w:val="00587583"/>
    <w:rsid w:val="005B06ED"/>
    <w:rsid w:val="005C0CF3"/>
    <w:rsid w:val="006138F3"/>
    <w:rsid w:val="0062019C"/>
    <w:rsid w:val="00624220"/>
    <w:rsid w:val="00634979"/>
    <w:rsid w:val="00646B52"/>
    <w:rsid w:val="0065064D"/>
    <w:rsid w:val="006524D3"/>
    <w:rsid w:val="0065584D"/>
    <w:rsid w:val="006578D6"/>
    <w:rsid w:val="006616A6"/>
    <w:rsid w:val="00674C2B"/>
    <w:rsid w:val="006808B1"/>
    <w:rsid w:val="006852F1"/>
    <w:rsid w:val="00691981"/>
    <w:rsid w:val="00694BA8"/>
    <w:rsid w:val="00696C9A"/>
    <w:rsid w:val="006B6372"/>
    <w:rsid w:val="006C0222"/>
    <w:rsid w:val="006D4962"/>
    <w:rsid w:val="006D55DB"/>
    <w:rsid w:val="006E200E"/>
    <w:rsid w:val="006E71C1"/>
    <w:rsid w:val="006F48B6"/>
    <w:rsid w:val="006F57E6"/>
    <w:rsid w:val="006F6D9C"/>
    <w:rsid w:val="007169D6"/>
    <w:rsid w:val="007178BE"/>
    <w:rsid w:val="007254C2"/>
    <w:rsid w:val="007404FE"/>
    <w:rsid w:val="007469B4"/>
    <w:rsid w:val="00746CDC"/>
    <w:rsid w:val="00747C16"/>
    <w:rsid w:val="00760E33"/>
    <w:rsid w:val="00780531"/>
    <w:rsid w:val="00780EC5"/>
    <w:rsid w:val="00783FCF"/>
    <w:rsid w:val="00787426"/>
    <w:rsid w:val="00791B40"/>
    <w:rsid w:val="007A1E0A"/>
    <w:rsid w:val="007C1025"/>
    <w:rsid w:val="007C7143"/>
    <w:rsid w:val="007D538B"/>
    <w:rsid w:val="007E0A33"/>
    <w:rsid w:val="00802C0B"/>
    <w:rsid w:val="008044CA"/>
    <w:rsid w:val="008050C6"/>
    <w:rsid w:val="00810D02"/>
    <w:rsid w:val="008164D5"/>
    <w:rsid w:val="00816A86"/>
    <w:rsid w:val="00836315"/>
    <w:rsid w:val="00843DA1"/>
    <w:rsid w:val="00845029"/>
    <w:rsid w:val="008555AE"/>
    <w:rsid w:val="00856704"/>
    <w:rsid w:val="0086470C"/>
    <w:rsid w:val="00887A1F"/>
    <w:rsid w:val="008D0959"/>
    <w:rsid w:val="008D52BB"/>
    <w:rsid w:val="008F7F27"/>
    <w:rsid w:val="00912530"/>
    <w:rsid w:val="0091273B"/>
    <w:rsid w:val="00915D07"/>
    <w:rsid w:val="00927B9D"/>
    <w:rsid w:val="009342E5"/>
    <w:rsid w:val="00936AE6"/>
    <w:rsid w:val="0097175C"/>
    <w:rsid w:val="00982BD9"/>
    <w:rsid w:val="00992386"/>
    <w:rsid w:val="009A67C8"/>
    <w:rsid w:val="009C7E6D"/>
    <w:rsid w:val="009D538A"/>
    <w:rsid w:val="009D6C20"/>
    <w:rsid w:val="009D7A15"/>
    <w:rsid w:val="009F0934"/>
    <w:rsid w:val="00A02672"/>
    <w:rsid w:val="00A05977"/>
    <w:rsid w:val="00A17DDD"/>
    <w:rsid w:val="00A245C1"/>
    <w:rsid w:val="00A31C67"/>
    <w:rsid w:val="00A3487E"/>
    <w:rsid w:val="00A36549"/>
    <w:rsid w:val="00A449EB"/>
    <w:rsid w:val="00A44D79"/>
    <w:rsid w:val="00A45A79"/>
    <w:rsid w:val="00A56164"/>
    <w:rsid w:val="00A605A1"/>
    <w:rsid w:val="00A7499F"/>
    <w:rsid w:val="00A7673D"/>
    <w:rsid w:val="00A82FF1"/>
    <w:rsid w:val="00A839A2"/>
    <w:rsid w:val="00A94D97"/>
    <w:rsid w:val="00AB0C03"/>
    <w:rsid w:val="00AC14F9"/>
    <w:rsid w:val="00AD5B2A"/>
    <w:rsid w:val="00AD5BA8"/>
    <w:rsid w:val="00AE4E0F"/>
    <w:rsid w:val="00AF1636"/>
    <w:rsid w:val="00AF402D"/>
    <w:rsid w:val="00AF5BD1"/>
    <w:rsid w:val="00B0140B"/>
    <w:rsid w:val="00B07B11"/>
    <w:rsid w:val="00B15955"/>
    <w:rsid w:val="00B26E37"/>
    <w:rsid w:val="00B536D5"/>
    <w:rsid w:val="00B64A60"/>
    <w:rsid w:val="00B67CCC"/>
    <w:rsid w:val="00B8741D"/>
    <w:rsid w:val="00BA7C72"/>
    <w:rsid w:val="00BC69B6"/>
    <w:rsid w:val="00BD3E7A"/>
    <w:rsid w:val="00BF0805"/>
    <w:rsid w:val="00BF5D2D"/>
    <w:rsid w:val="00C11270"/>
    <w:rsid w:val="00C34E94"/>
    <w:rsid w:val="00C5482F"/>
    <w:rsid w:val="00C5698C"/>
    <w:rsid w:val="00C61A15"/>
    <w:rsid w:val="00C75DAD"/>
    <w:rsid w:val="00C85F20"/>
    <w:rsid w:val="00C97528"/>
    <w:rsid w:val="00CD0CDF"/>
    <w:rsid w:val="00CE6B4A"/>
    <w:rsid w:val="00D12DEB"/>
    <w:rsid w:val="00D2574C"/>
    <w:rsid w:val="00D328C1"/>
    <w:rsid w:val="00D35CB3"/>
    <w:rsid w:val="00D377BB"/>
    <w:rsid w:val="00D43ED3"/>
    <w:rsid w:val="00D61BAF"/>
    <w:rsid w:val="00D7472B"/>
    <w:rsid w:val="00D77F74"/>
    <w:rsid w:val="00D87627"/>
    <w:rsid w:val="00D9696B"/>
    <w:rsid w:val="00DA2B40"/>
    <w:rsid w:val="00DB22D2"/>
    <w:rsid w:val="00DB7813"/>
    <w:rsid w:val="00DC3359"/>
    <w:rsid w:val="00DC5BA6"/>
    <w:rsid w:val="00DD6945"/>
    <w:rsid w:val="00DE3B51"/>
    <w:rsid w:val="00DF4947"/>
    <w:rsid w:val="00DF7DB2"/>
    <w:rsid w:val="00E021BF"/>
    <w:rsid w:val="00E16686"/>
    <w:rsid w:val="00E17C8B"/>
    <w:rsid w:val="00E17D57"/>
    <w:rsid w:val="00E219B7"/>
    <w:rsid w:val="00E575EF"/>
    <w:rsid w:val="00E72376"/>
    <w:rsid w:val="00E84D4D"/>
    <w:rsid w:val="00E9296D"/>
    <w:rsid w:val="00E97E18"/>
    <w:rsid w:val="00EA22F9"/>
    <w:rsid w:val="00EA2F30"/>
    <w:rsid w:val="00EC46E2"/>
    <w:rsid w:val="00EE6BF5"/>
    <w:rsid w:val="00EF6048"/>
    <w:rsid w:val="00F11E6D"/>
    <w:rsid w:val="00F15A74"/>
    <w:rsid w:val="00F16765"/>
    <w:rsid w:val="00F26B61"/>
    <w:rsid w:val="00F423CF"/>
    <w:rsid w:val="00F46010"/>
    <w:rsid w:val="00F54E6A"/>
    <w:rsid w:val="00F74285"/>
    <w:rsid w:val="00F80037"/>
    <w:rsid w:val="00F83B78"/>
    <w:rsid w:val="00FA11D6"/>
    <w:rsid w:val="00FB2D9A"/>
    <w:rsid w:val="00FB408F"/>
    <w:rsid w:val="00FB5AAA"/>
    <w:rsid w:val="00FE6A67"/>
    <w:rsid w:val="00FF0BBA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6767D"/>
  <w15:docId w15:val="{85A1ECFB-7A87-4E59-A15E-B063948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2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1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37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10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formance.framework@policeconduct.gsi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Complaints Information Bulletin</vt:lpstr>
    </vt:vector>
  </TitlesOfParts>
  <Company>IPCC</Company>
  <LinksUpToDate>false</LinksUpToDate>
  <CharactersWithSpaces>4445</CharactersWithSpaces>
  <SharedDoc>false</SharedDoc>
  <HLinks>
    <vt:vector size="6" baseType="variant"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mailto:performance.framework@ipcc.gsi.gov.uk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Complaints Information Bulletin</dc:title>
  <dc:creator>donna.swales</dc:creator>
  <cp:lastModifiedBy>Holbrook-King, Sonia 12771</cp:lastModifiedBy>
  <cp:revision>54</cp:revision>
  <cp:lastPrinted>2018-05-17T13:15:00Z</cp:lastPrinted>
  <dcterms:created xsi:type="dcterms:W3CDTF">2024-11-25T13:41:00Z</dcterms:created>
  <dcterms:modified xsi:type="dcterms:W3CDTF">2024-11-25T15:50:00Z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08bcb48c-0003-4e49-a979-173e6e7f4ba4</vt:lpwstr>
  </property>
</Properties>
</file>