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BA7D2" w14:textId="77777777" w:rsidR="000A27AF" w:rsidRPr="006232AC" w:rsidRDefault="000A27AF" w:rsidP="000A27AF">
      <w:pPr>
        <w:autoSpaceDE w:val="0"/>
        <w:autoSpaceDN w:val="0"/>
        <w:adjustRightInd w:val="0"/>
        <w:spacing w:after="0" w:line="240" w:lineRule="auto"/>
        <w:jc w:val="center"/>
        <w:rPr>
          <w:rFonts w:ascii="Arial" w:hAnsi="Arial" w:cs="Arial"/>
          <w:color w:val="000000"/>
          <w:sz w:val="28"/>
          <w:szCs w:val="28"/>
        </w:rPr>
      </w:pPr>
      <w:r w:rsidRPr="006232AC">
        <w:rPr>
          <w:rFonts w:ascii="Arial" w:hAnsi="Arial" w:cs="Arial"/>
          <w:b/>
          <w:bCs/>
          <w:color w:val="000000"/>
          <w:sz w:val="28"/>
          <w:szCs w:val="28"/>
        </w:rPr>
        <w:t>The Police and Crime Commissioner for Surrey</w:t>
      </w:r>
    </w:p>
    <w:p w14:paraId="5571F08A" w14:textId="77777777" w:rsidR="000A27AF" w:rsidRPr="006232AC" w:rsidRDefault="000A27AF" w:rsidP="000A27AF">
      <w:pPr>
        <w:autoSpaceDE w:val="0"/>
        <w:autoSpaceDN w:val="0"/>
        <w:adjustRightInd w:val="0"/>
        <w:spacing w:after="0" w:line="240" w:lineRule="auto"/>
        <w:jc w:val="center"/>
        <w:rPr>
          <w:rFonts w:ascii="Arial" w:hAnsi="Arial" w:cs="Arial"/>
          <w:b/>
          <w:bCs/>
          <w:color w:val="000000"/>
          <w:sz w:val="28"/>
          <w:szCs w:val="28"/>
        </w:rPr>
      </w:pPr>
    </w:p>
    <w:p w14:paraId="0F25C264" w14:textId="77777777" w:rsidR="000A27AF" w:rsidRPr="006232AC" w:rsidRDefault="000A27AF" w:rsidP="000A27AF">
      <w:pPr>
        <w:autoSpaceDE w:val="0"/>
        <w:autoSpaceDN w:val="0"/>
        <w:adjustRightInd w:val="0"/>
        <w:spacing w:after="0" w:line="240" w:lineRule="auto"/>
        <w:jc w:val="center"/>
        <w:rPr>
          <w:rFonts w:ascii="Arial" w:hAnsi="Arial" w:cs="Arial"/>
          <w:color w:val="000000"/>
          <w:sz w:val="24"/>
          <w:szCs w:val="24"/>
        </w:rPr>
      </w:pPr>
      <w:r w:rsidRPr="006232AC">
        <w:rPr>
          <w:rFonts w:ascii="Arial" w:hAnsi="Arial" w:cs="Arial"/>
          <w:b/>
          <w:bCs/>
          <w:color w:val="000000"/>
          <w:sz w:val="24"/>
          <w:szCs w:val="24"/>
        </w:rPr>
        <w:t>Approval of the Council Tax Precept and Revenue and Capital Budgets 202</w:t>
      </w:r>
      <w:r>
        <w:rPr>
          <w:rFonts w:ascii="Arial" w:hAnsi="Arial" w:cs="Arial"/>
          <w:b/>
          <w:bCs/>
          <w:color w:val="000000"/>
          <w:sz w:val="24"/>
          <w:szCs w:val="24"/>
        </w:rPr>
        <w:t>5</w:t>
      </w:r>
      <w:r w:rsidRPr="006232AC">
        <w:rPr>
          <w:rFonts w:ascii="Arial" w:hAnsi="Arial" w:cs="Arial"/>
          <w:b/>
          <w:bCs/>
          <w:color w:val="000000"/>
          <w:sz w:val="24"/>
          <w:szCs w:val="24"/>
        </w:rPr>
        <w:t>/2</w:t>
      </w:r>
      <w:r>
        <w:rPr>
          <w:rFonts w:ascii="Arial" w:hAnsi="Arial" w:cs="Arial"/>
          <w:b/>
          <w:bCs/>
          <w:color w:val="000000"/>
          <w:sz w:val="24"/>
          <w:szCs w:val="24"/>
        </w:rPr>
        <w:t>6</w:t>
      </w:r>
    </w:p>
    <w:p w14:paraId="369F2B27" w14:textId="77777777" w:rsidR="000A27AF" w:rsidRPr="006232AC" w:rsidRDefault="000A27AF" w:rsidP="000A27AF">
      <w:pPr>
        <w:jc w:val="center"/>
        <w:rPr>
          <w:rFonts w:ascii="Arial" w:hAnsi="Arial" w:cs="Arial"/>
          <w:b/>
          <w:bCs/>
          <w:color w:val="000000"/>
          <w:sz w:val="24"/>
          <w:szCs w:val="24"/>
        </w:rPr>
      </w:pPr>
      <w:r w:rsidRPr="006232AC">
        <w:rPr>
          <w:rFonts w:ascii="Arial" w:hAnsi="Arial" w:cs="Arial"/>
          <w:b/>
          <w:bCs/>
          <w:color w:val="000000"/>
          <w:sz w:val="24"/>
          <w:szCs w:val="24"/>
        </w:rPr>
        <w:t xml:space="preserve">Report by Kelvin Menon, Treasurer to the Police </w:t>
      </w:r>
      <w:r>
        <w:rPr>
          <w:rFonts w:ascii="Arial" w:hAnsi="Arial" w:cs="Arial"/>
          <w:b/>
          <w:bCs/>
          <w:color w:val="000000"/>
          <w:sz w:val="24"/>
          <w:szCs w:val="24"/>
        </w:rPr>
        <w:t>&amp;</w:t>
      </w:r>
      <w:r w:rsidRPr="006232AC">
        <w:rPr>
          <w:rFonts w:ascii="Arial" w:hAnsi="Arial" w:cs="Arial"/>
          <w:b/>
          <w:bCs/>
          <w:color w:val="000000"/>
          <w:sz w:val="24"/>
          <w:szCs w:val="24"/>
        </w:rPr>
        <w:t xml:space="preserve"> Crime Commissioner for Surrey</w:t>
      </w:r>
    </w:p>
    <w:p w14:paraId="1347532F" w14:textId="77777777" w:rsidR="000A27AF" w:rsidRPr="006232AC" w:rsidRDefault="000A27AF" w:rsidP="000A27AF">
      <w:pPr>
        <w:autoSpaceDE w:val="0"/>
        <w:autoSpaceDN w:val="0"/>
        <w:adjustRightInd w:val="0"/>
        <w:spacing w:after="0" w:line="240" w:lineRule="auto"/>
        <w:ind w:left="360"/>
        <w:rPr>
          <w:rFonts w:ascii="Arial" w:hAnsi="Arial" w:cs="Arial"/>
          <w:b/>
          <w:color w:val="000000"/>
          <w:sz w:val="24"/>
          <w:szCs w:val="24"/>
        </w:rPr>
      </w:pPr>
      <w:r w:rsidRPr="006232AC">
        <w:rPr>
          <w:rFonts w:ascii="Arial" w:hAnsi="Arial" w:cs="Arial"/>
          <w:b/>
          <w:color w:val="000000"/>
          <w:sz w:val="24"/>
          <w:szCs w:val="24"/>
        </w:rPr>
        <w:t xml:space="preserve">Purpose of the Report </w:t>
      </w:r>
    </w:p>
    <w:p w14:paraId="324EE7A6" w14:textId="77777777" w:rsidR="000A27AF" w:rsidRPr="006232AC" w:rsidRDefault="000A27AF" w:rsidP="000A27AF">
      <w:pPr>
        <w:autoSpaceDE w:val="0"/>
        <w:autoSpaceDN w:val="0"/>
        <w:adjustRightInd w:val="0"/>
        <w:spacing w:after="0" w:line="240" w:lineRule="auto"/>
        <w:rPr>
          <w:rFonts w:ascii="Verdana" w:hAnsi="Verdana" w:cs="Verdana"/>
          <w:color w:val="000000"/>
          <w:sz w:val="23"/>
          <w:szCs w:val="23"/>
        </w:rPr>
      </w:pPr>
    </w:p>
    <w:p w14:paraId="1819A047" w14:textId="77777777" w:rsidR="000A27AF" w:rsidRPr="006232AC"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6232AC">
        <w:rPr>
          <w:rFonts w:ascii="Arial" w:hAnsi="Arial" w:cs="Arial"/>
          <w:color w:val="000000"/>
          <w:sz w:val="24"/>
          <w:szCs w:val="24"/>
        </w:rPr>
        <w:t>The purpose of this report is to request the Police and Crime Commissioner for Surrey (the PCC) to approve the revenue budget, capital programme and precept for the financial year 202</w:t>
      </w:r>
      <w:r>
        <w:rPr>
          <w:rFonts w:ascii="Arial" w:hAnsi="Arial" w:cs="Arial"/>
          <w:color w:val="000000"/>
          <w:sz w:val="24"/>
          <w:szCs w:val="24"/>
        </w:rPr>
        <w:t>5</w:t>
      </w:r>
      <w:r w:rsidRPr="006232AC">
        <w:rPr>
          <w:rFonts w:ascii="Arial" w:hAnsi="Arial" w:cs="Arial"/>
          <w:color w:val="000000"/>
          <w:sz w:val="24"/>
          <w:szCs w:val="24"/>
        </w:rPr>
        <w:t>/2</w:t>
      </w:r>
      <w:r>
        <w:rPr>
          <w:rFonts w:ascii="Arial" w:hAnsi="Arial" w:cs="Arial"/>
          <w:color w:val="000000"/>
          <w:sz w:val="24"/>
          <w:szCs w:val="24"/>
        </w:rPr>
        <w:t>6</w:t>
      </w:r>
      <w:r w:rsidRPr="006232AC">
        <w:rPr>
          <w:rFonts w:ascii="Arial" w:hAnsi="Arial" w:cs="Arial"/>
          <w:color w:val="000000"/>
          <w:sz w:val="24"/>
          <w:szCs w:val="24"/>
        </w:rPr>
        <w:t xml:space="preserve"> and issue a demand to the billing authorities as a major precepting authority. </w:t>
      </w:r>
    </w:p>
    <w:p w14:paraId="2A267685" w14:textId="77777777" w:rsidR="000A27AF" w:rsidRPr="006232AC" w:rsidRDefault="000A27AF" w:rsidP="000A27AF">
      <w:pPr>
        <w:pStyle w:val="ListParagraph"/>
        <w:autoSpaceDE w:val="0"/>
        <w:autoSpaceDN w:val="0"/>
        <w:adjustRightInd w:val="0"/>
        <w:spacing w:after="0" w:line="240" w:lineRule="auto"/>
        <w:ind w:left="360"/>
        <w:rPr>
          <w:rFonts w:ascii="Arial" w:hAnsi="Arial" w:cs="Arial"/>
          <w:color w:val="000000"/>
          <w:sz w:val="24"/>
          <w:szCs w:val="24"/>
        </w:rPr>
      </w:pPr>
    </w:p>
    <w:p w14:paraId="209DA509" w14:textId="77777777" w:rsidR="000A27AF" w:rsidRPr="006232AC" w:rsidRDefault="000A27AF" w:rsidP="000A27AF">
      <w:pPr>
        <w:autoSpaceDE w:val="0"/>
        <w:autoSpaceDN w:val="0"/>
        <w:adjustRightInd w:val="0"/>
        <w:spacing w:after="0" w:line="240" w:lineRule="auto"/>
        <w:ind w:left="360"/>
        <w:rPr>
          <w:rFonts w:ascii="Arial" w:hAnsi="Arial" w:cs="Arial"/>
          <w:color w:val="000000"/>
          <w:sz w:val="24"/>
          <w:szCs w:val="24"/>
        </w:rPr>
      </w:pPr>
      <w:r w:rsidRPr="006232AC">
        <w:rPr>
          <w:rFonts w:ascii="Arial" w:hAnsi="Arial" w:cs="Arial"/>
          <w:b/>
          <w:bCs/>
          <w:color w:val="000000"/>
          <w:sz w:val="24"/>
          <w:szCs w:val="24"/>
        </w:rPr>
        <w:t xml:space="preserve">Background </w:t>
      </w:r>
    </w:p>
    <w:p w14:paraId="5AD10024" w14:textId="77777777" w:rsidR="000A27AF" w:rsidRPr="006232AC" w:rsidRDefault="000A27AF" w:rsidP="000A27AF">
      <w:pPr>
        <w:autoSpaceDE w:val="0"/>
        <w:autoSpaceDN w:val="0"/>
        <w:adjustRightInd w:val="0"/>
        <w:spacing w:after="0" w:line="240" w:lineRule="auto"/>
        <w:rPr>
          <w:rFonts w:ascii="Arial" w:hAnsi="Arial" w:cs="Arial"/>
          <w:color w:val="000000"/>
          <w:sz w:val="24"/>
          <w:szCs w:val="24"/>
        </w:rPr>
      </w:pPr>
    </w:p>
    <w:p w14:paraId="1EFF55EC" w14:textId="77777777" w:rsidR="000A27AF" w:rsidRPr="006232AC"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6232AC">
        <w:rPr>
          <w:rFonts w:ascii="Arial" w:hAnsi="Arial" w:cs="Arial"/>
          <w:color w:val="000000"/>
          <w:sz w:val="24"/>
          <w:szCs w:val="24"/>
        </w:rPr>
        <w:t xml:space="preserve">The Local Government Finance Act 1992, as amended by the Localism Act 2011 sets out the requirements for the Commissioner to consider council tax calculations by major precepting authorities. </w:t>
      </w:r>
    </w:p>
    <w:p w14:paraId="44900757" w14:textId="77777777" w:rsidR="000A27AF" w:rsidRPr="001D13AF" w:rsidRDefault="000A27AF" w:rsidP="000A27AF">
      <w:pPr>
        <w:autoSpaceDE w:val="0"/>
        <w:autoSpaceDN w:val="0"/>
        <w:adjustRightInd w:val="0"/>
        <w:spacing w:after="0" w:line="240" w:lineRule="auto"/>
        <w:jc w:val="both"/>
        <w:rPr>
          <w:rFonts w:ascii="Arial" w:hAnsi="Arial" w:cs="Arial"/>
          <w:color w:val="000000"/>
          <w:sz w:val="24"/>
          <w:szCs w:val="24"/>
          <w:highlight w:val="yellow"/>
        </w:rPr>
      </w:pPr>
    </w:p>
    <w:p w14:paraId="64766ED1" w14:textId="77777777" w:rsidR="000A27AF" w:rsidRPr="006232AC"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6232AC">
        <w:rPr>
          <w:rFonts w:ascii="Arial" w:hAnsi="Arial" w:cs="Arial"/>
          <w:color w:val="000000"/>
          <w:sz w:val="24"/>
          <w:szCs w:val="24"/>
        </w:rPr>
        <w:t>This report sets out the proposed revenue budget and capital programme for 202</w:t>
      </w:r>
      <w:r>
        <w:rPr>
          <w:rFonts w:ascii="Arial" w:hAnsi="Arial" w:cs="Arial"/>
          <w:color w:val="000000"/>
          <w:sz w:val="24"/>
          <w:szCs w:val="24"/>
        </w:rPr>
        <w:t>5</w:t>
      </w:r>
      <w:r w:rsidRPr="006232AC">
        <w:rPr>
          <w:rFonts w:ascii="Arial" w:hAnsi="Arial" w:cs="Arial"/>
          <w:color w:val="000000"/>
          <w:sz w:val="24"/>
          <w:szCs w:val="24"/>
        </w:rPr>
        <w:t>/2</w:t>
      </w:r>
      <w:r>
        <w:rPr>
          <w:rFonts w:ascii="Arial" w:hAnsi="Arial" w:cs="Arial"/>
          <w:color w:val="000000"/>
          <w:sz w:val="24"/>
          <w:szCs w:val="24"/>
        </w:rPr>
        <w:t>6</w:t>
      </w:r>
      <w:r w:rsidRPr="006232AC">
        <w:rPr>
          <w:rFonts w:ascii="Arial" w:hAnsi="Arial" w:cs="Arial"/>
          <w:color w:val="000000"/>
          <w:sz w:val="24"/>
          <w:szCs w:val="24"/>
        </w:rPr>
        <w:t xml:space="preserve">, together with a review of the current year’s budget position to allow a budget and council tax to be approved in accordance with legislative requirements. </w:t>
      </w:r>
    </w:p>
    <w:p w14:paraId="2E863C71" w14:textId="77777777" w:rsidR="000A27AF" w:rsidRPr="006232AC" w:rsidRDefault="000A27AF" w:rsidP="000A27AF">
      <w:pPr>
        <w:pStyle w:val="ListParagraph"/>
        <w:autoSpaceDE w:val="0"/>
        <w:autoSpaceDN w:val="0"/>
        <w:adjustRightInd w:val="0"/>
        <w:spacing w:after="0" w:line="240" w:lineRule="auto"/>
        <w:ind w:left="360"/>
        <w:jc w:val="both"/>
        <w:rPr>
          <w:rFonts w:ascii="Arial" w:hAnsi="Arial" w:cs="Arial"/>
          <w:color w:val="000000"/>
          <w:sz w:val="24"/>
          <w:szCs w:val="24"/>
        </w:rPr>
      </w:pPr>
    </w:p>
    <w:p w14:paraId="6EC97FD5" w14:textId="77777777" w:rsidR="000A27AF" w:rsidRPr="006232AC"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6232AC">
        <w:rPr>
          <w:rFonts w:ascii="Arial" w:hAnsi="Arial" w:cs="Arial"/>
          <w:color w:val="000000"/>
          <w:sz w:val="24"/>
          <w:szCs w:val="24"/>
        </w:rPr>
        <w:t xml:space="preserve">In preparing the Revenue and Capital Budgets for </w:t>
      </w:r>
      <w:r>
        <w:rPr>
          <w:rFonts w:ascii="Arial" w:hAnsi="Arial" w:cs="Arial"/>
          <w:color w:val="000000"/>
          <w:sz w:val="24"/>
          <w:szCs w:val="24"/>
        </w:rPr>
        <w:t>2025/26</w:t>
      </w:r>
      <w:r w:rsidRPr="006232AC">
        <w:rPr>
          <w:rFonts w:ascii="Arial" w:hAnsi="Arial" w:cs="Arial"/>
          <w:color w:val="000000"/>
          <w:sz w:val="24"/>
          <w:szCs w:val="24"/>
        </w:rPr>
        <w:t xml:space="preserve"> the PCC has considered the following issues: </w:t>
      </w:r>
    </w:p>
    <w:p w14:paraId="433A04D7" w14:textId="77777777" w:rsidR="000A27AF" w:rsidRPr="006232AC" w:rsidRDefault="000A27AF" w:rsidP="000A27AF">
      <w:pPr>
        <w:pStyle w:val="ListParagraph"/>
        <w:rPr>
          <w:rFonts w:ascii="Arial" w:hAnsi="Arial" w:cs="Arial"/>
          <w:color w:val="000000"/>
          <w:sz w:val="24"/>
          <w:szCs w:val="24"/>
        </w:rPr>
      </w:pPr>
    </w:p>
    <w:p w14:paraId="23D88CB1" w14:textId="77777777" w:rsidR="000A27AF" w:rsidRPr="006232AC" w:rsidRDefault="000A27AF" w:rsidP="000A27AF">
      <w:pPr>
        <w:pStyle w:val="ListParagraph"/>
        <w:numPr>
          <w:ilvl w:val="0"/>
          <w:numId w:val="3"/>
        </w:numPr>
        <w:autoSpaceDE w:val="0"/>
        <w:autoSpaceDN w:val="0"/>
        <w:adjustRightInd w:val="0"/>
        <w:spacing w:after="48" w:line="240" w:lineRule="auto"/>
        <w:rPr>
          <w:rFonts w:ascii="Arial" w:hAnsi="Arial" w:cs="Arial"/>
          <w:color w:val="000000"/>
          <w:sz w:val="24"/>
          <w:szCs w:val="24"/>
        </w:rPr>
      </w:pPr>
      <w:r w:rsidRPr="006232AC">
        <w:rPr>
          <w:rFonts w:ascii="Arial" w:hAnsi="Arial" w:cs="Arial"/>
          <w:color w:val="000000"/>
          <w:sz w:val="24"/>
          <w:szCs w:val="24"/>
        </w:rPr>
        <w:t xml:space="preserve">The financial settlement from Government to the Police for </w:t>
      </w:r>
      <w:proofErr w:type="gramStart"/>
      <w:r>
        <w:rPr>
          <w:rFonts w:ascii="Arial" w:hAnsi="Arial" w:cs="Arial"/>
          <w:color w:val="000000"/>
          <w:sz w:val="24"/>
          <w:szCs w:val="24"/>
        </w:rPr>
        <w:t>2025/26</w:t>
      </w:r>
      <w:r w:rsidRPr="006232AC">
        <w:rPr>
          <w:rFonts w:ascii="Arial" w:hAnsi="Arial" w:cs="Arial"/>
          <w:color w:val="000000"/>
          <w:sz w:val="24"/>
          <w:szCs w:val="24"/>
        </w:rPr>
        <w:t>;</w:t>
      </w:r>
      <w:proofErr w:type="gramEnd"/>
      <w:r w:rsidRPr="006232AC">
        <w:rPr>
          <w:rFonts w:ascii="Arial" w:hAnsi="Arial" w:cs="Arial"/>
          <w:color w:val="000000"/>
          <w:sz w:val="24"/>
          <w:szCs w:val="24"/>
        </w:rPr>
        <w:t xml:space="preserve"> </w:t>
      </w:r>
    </w:p>
    <w:p w14:paraId="459A1AF2" w14:textId="77777777" w:rsidR="000A27AF" w:rsidRPr="006232AC" w:rsidRDefault="000A27AF" w:rsidP="000A27AF">
      <w:pPr>
        <w:pStyle w:val="ListParagraph"/>
        <w:numPr>
          <w:ilvl w:val="0"/>
          <w:numId w:val="3"/>
        </w:numPr>
        <w:autoSpaceDE w:val="0"/>
        <w:autoSpaceDN w:val="0"/>
        <w:adjustRightInd w:val="0"/>
        <w:spacing w:after="48" w:line="240" w:lineRule="auto"/>
        <w:rPr>
          <w:rFonts w:ascii="Arial" w:hAnsi="Arial" w:cs="Arial"/>
          <w:color w:val="000000"/>
          <w:sz w:val="24"/>
          <w:szCs w:val="24"/>
        </w:rPr>
      </w:pPr>
      <w:r w:rsidRPr="006232AC">
        <w:rPr>
          <w:rFonts w:ascii="Arial" w:hAnsi="Arial" w:cs="Arial"/>
          <w:color w:val="000000"/>
          <w:sz w:val="24"/>
          <w:szCs w:val="24"/>
        </w:rPr>
        <w:t xml:space="preserve">The recommendations of the of the Police and Crime Panel in respect of the </w:t>
      </w:r>
      <w:proofErr w:type="gramStart"/>
      <w:r w:rsidRPr="006232AC">
        <w:rPr>
          <w:rFonts w:ascii="Arial" w:hAnsi="Arial" w:cs="Arial"/>
          <w:color w:val="000000"/>
          <w:sz w:val="24"/>
          <w:szCs w:val="24"/>
        </w:rPr>
        <w:t>Precept;</w:t>
      </w:r>
      <w:proofErr w:type="gramEnd"/>
    </w:p>
    <w:p w14:paraId="44089C0B" w14:textId="77777777" w:rsidR="000A27AF" w:rsidRPr="006232AC" w:rsidRDefault="000A27AF" w:rsidP="000A27AF">
      <w:pPr>
        <w:pStyle w:val="ListParagraph"/>
        <w:numPr>
          <w:ilvl w:val="0"/>
          <w:numId w:val="3"/>
        </w:numPr>
        <w:autoSpaceDE w:val="0"/>
        <w:autoSpaceDN w:val="0"/>
        <w:adjustRightInd w:val="0"/>
        <w:spacing w:after="48" w:line="240" w:lineRule="auto"/>
        <w:rPr>
          <w:rFonts w:ascii="Arial" w:hAnsi="Arial" w:cs="Arial"/>
          <w:color w:val="000000"/>
          <w:sz w:val="24"/>
          <w:szCs w:val="24"/>
        </w:rPr>
      </w:pPr>
      <w:r w:rsidRPr="006232AC">
        <w:rPr>
          <w:rFonts w:ascii="Arial" w:hAnsi="Arial" w:cs="Arial"/>
          <w:color w:val="000000"/>
          <w:sz w:val="24"/>
          <w:szCs w:val="24"/>
        </w:rPr>
        <w:t xml:space="preserve">The key principles underlying the four-year Medium Term Financial </w:t>
      </w:r>
      <w:r>
        <w:rPr>
          <w:rFonts w:ascii="Arial" w:hAnsi="Arial" w:cs="Arial"/>
          <w:color w:val="000000"/>
          <w:sz w:val="24"/>
          <w:szCs w:val="24"/>
        </w:rPr>
        <w:t>Plan</w:t>
      </w:r>
      <w:r w:rsidRPr="006232AC">
        <w:rPr>
          <w:rFonts w:ascii="Arial" w:hAnsi="Arial" w:cs="Arial"/>
          <w:color w:val="000000"/>
          <w:sz w:val="24"/>
          <w:szCs w:val="24"/>
        </w:rPr>
        <w:t xml:space="preserve"> </w:t>
      </w:r>
      <w:r>
        <w:rPr>
          <w:rFonts w:ascii="Arial" w:hAnsi="Arial" w:cs="Arial"/>
          <w:color w:val="000000"/>
          <w:sz w:val="24"/>
          <w:szCs w:val="24"/>
        </w:rPr>
        <w:t>2025/26</w:t>
      </w:r>
      <w:r w:rsidRPr="006232AC">
        <w:rPr>
          <w:rFonts w:ascii="Arial" w:hAnsi="Arial" w:cs="Arial"/>
          <w:color w:val="000000"/>
          <w:sz w:val="24"/>
          <w:szCs w:val="24"/>
        </w:rPr>
        <w:t xml:space="preserve"> – 202</w:t>
      </w:r>
      <w:r>
        <w:rPr>
          <w:rFonts w:ascii="Arial" w:hAnsi="Arial" w:cs="Arial"/>
          <w:color w:val="000000"/>
          <w:sz w:val="24"/>
          <w:szCs w:val="24"/>
        </w:rPr>
        <w:t>8</w:t>
      </w:r>
      <w:r w:rsidRPr="006232AC">
        <w:rPr>
          <w:rFonts w:ascii="Arial" w:hAnsi="Arial" w:cs="Arial"/>
          <w:color w:val="000000"/>
          <w:sz w:val="24"/>
          <w:szCs w:val="24"/>
        </w:rPr>
        <w:t>/2</w:t>
      </w:r>
      <w:r>
        <w:rPr>
          <w:rFonts w:ascii="Arial" w:hAnsi="Arial" w:cs="Arial"/>
          <w:color w:val="000000"/>
          <w:sz w:val="24"/>
          <w:szCs w:val="24"/>
        </w:rPr>
        <w:t>9</w:t>
      </w:r>
      <w:r w:rsidRPr="006232AC">
        <w:rPr>
          <w:rFonts w:ascii="Arial" w:hAnsi="Arial" w:cs="Arial"/>
          <w:color w:val="000000"/>
          <w:sz w:val="24"/>
          <w:szCs w:val="24"/>
        </w:rPr>
        <w:t xml:space="preserve"> (MTF</w:t>
      </w:r>
      <w:r>
        <w:rPr>
          <w:rFonts w:ascii="Arial" w:hAnsi="Arial" w:cs="Arial"/>
          <w:color w:val="000000"/>
          <w:sz w:val="24"/>
          <w:szCs w:val="24"/>
        </w:rPr>
        <w:t>P</w:t>
      </w:r>
      <w:r w:rsidRPr="006232AC">
        <w:rPr>
          <w:rFonts w:ascii="Arial" w:hAnsi="Arial" w:cs="Arial"/>
          <w:color w:val="000000"/>
          <w:sz w:val="24"/>
          <w:szCs w:val="24"/>
        </w:rPr>
        <w:t xml:space="preserve">). </w:t>
      </w:r>
    </w:p>
    <w:p w14:paraId="19571B94" w14:textId="77777777" w:rsidR="000A27AF" w:rsidRPr="006232AC" w:rsidRDefault="000A27AF" w:rsidP="000A27AF">
      <w:pPr>
        <w:pStyle w:val="ListParagraph"/>
        <w:numPr>
          <w:ilvl w:val="0"/>
          <w:numId w:val="3"/>
        </w:numPr>
        <w:autoSpaceDE w:val="0"/>
        <w:autoSpaceDN w:val="0"/>
        <w:adjustRightInd w:val="0"/>
        <w:spacing w:after="48" w:line="240" w:lineRule="auto"/>
        <w:rPr>
          <w:rFonts w:ascii="Arial" w:hAnsi="Arial" w:cs="Arial"/>
          <w:color w:val="000000"/>
          <w:sz w:val="24"/>
          <w:szCs w:val="24"/>
        </w:rPr>
      </w:pPr>
      <w:r w:rsidRPr="006232AC">
        <w:rPr>
          <w:rFonts w:ascii="Arial" w:hAnsi="Arial" w:cs="Arial"/>
          <w:color w:val="000000"/>
          <w:sz w:val="24"/>
          <w:szCs w:val="24"/>
        </w:rPr>
        <w:t xml:space="preserve">The likely revenue and capital outturn for </w:t>
      </w:r>
      <w:proofErr w:type="gramStart"/>
      <w:r w:rsidRPr="006232AC">
        <w:rPr>
          <w:rFonts w:ascii="Arial" w:hAnsi="Arial" w:cs="Arial"/>
          <w:color w:val="000000"/>
          <w:sz w:val="24"/>
          <w:szCs w:val="24"/>
        </w:rPr>
        <w:t>202</w:t>
      </w:r>
      <w:r>
        <w:rPr>
          <w:rFonts w:ascii="Arial" w:hAnsi="Arial" w:cs="Arial"/>
          <w:color w:val="000000"/>
          <w:sz w:val="24"/>
          <w:szCs w:val="24"/>
        </w:rPr>
        <w:t>4</w:t>
      </w:r>
      <w:r w:rsidRPr="006232AC">
        <w:rPr>
          <w:rFonts w:ascii="Arial" w:hAnsi="Arial" w:cs="Arial"/>
          <w:color w:val="000000"/>
          <w:sz w:val="24"/>
          <w:szCs w:val="24"/>
        </w:rPr>
        <w:t>/2</w:t>
      </w:r>
      <w:r>
        <w:rPr>
          <w:rFonts w:ascii="Arial" w:hAnsi="Arial" w:cs="Arial"/>
          <w:color w:val="000000"/>
          <w:sz w:val="24"/>
          <w:szCs w:val="24"/>
        </w:rPr>
        <w:t>5</w:t>
      </w:r>
      <w:r w:rsidRPr="006232AC">
        <w:rPr>
          <w:rFonts w:ascii="Arial" w:hAnsi="Arial" w:cs="Arial"/>
          <w:color w:val="000000"/>
          <w:sz w:val="24"/>
          <w:szCs w:val="24"/>
        </w:rPr>
        <w:t>;</w:t>
      </w:r>
      <w:proofErr w:type="gramEnd"/>
      <w:r w:rsidRPr="006232AC">
        <w:rPr>
          <w:rFonts w:ascii="Arial" w:hAnsi="Arial" w:cs="Arial"/>
          <w:color w:val="000000"/>
          <w:sz w:val="24"/>
          <w:szCs w:val="24"/>
        </w:rPr>
        <w:t xml:space="preserve"> </w:t>
      </w:r>
    </w:p>
    <w:p w14:paraId="3DC9BE7A" w14:textId="77777777" w:rsidR="000A27AF" w:rsidRPr="006232AC" w:rsidRDefault="000A27AF" w:rsidP="000A27AF">
      <w:pPr>
        <w:pStyle w:val="ListParagraph"/>
        <w:numPr>
          <w:ilvl w:val="0"/>
          <w:numId w:val="3"/>
        </w:numPr>
        <w:autoSpaceDE w:val="0"/>
        <w:autoSpaceDN w:val="0"/>
        <w:adjustRightInd w:val="0"/>
        <w:spacing w:after="48" w:line="240" w:lineRule="auto"/>
        <w:rPr>
          <w:rFonts w:ascii="Arial" w:hAnsi="Arial" w:cs="Arial"/>
          <w:color w:val="000000"/>
          <w:sz w:val="24"/>
          <w:szCs w:val="24"/>
        </w:rPr>
      </w:pPr>
      <w:r w:rsidRPr="006232AC">
        <w:rPr>
          <w:rFonts w:ascii="Arial" w:hAnsi="Arial" w:cs="Arial"/>
          <w:color w:val="000000"/>
          <w:sz w:val="24"/>
          <w:szCs w:val="24"/>
        </w:rPr>
        <w:t xml:space="preserve">The efficiencies to be made in </w:t>
      </w:r>
      <w:proofErr w:type="gramStart"/>
      <w:r>
        <w:rPr>
          <w:rFonts w:ascii="Arial" w:hAnsi="Arial" w:cs="Arial"/>
          <w:color w:val="000000"/>
          <w:sz w:val="24"/>
          <w:szCs w:val="24"/>
        </w:rPr>
        <w:t>2025/26</w:t>
      </w:r>
      <w:r w:rsidRPr="006232AC">
        <w:rPr>
          <w:rFonts w:ascii="Arial" w:hAnsi="Arial" w:cs="Arial"/>
          <w:color w:val="000000"/>
          <w:sz w:val="24"/>
          <w:szCs w:val="24"/>
        </w:rPr>
        <w:t>;</w:t>
      </w:r>
      <w:proofErr w:type="gramEnd"/>
      <w:r w:rsidRPr="006232AC">
        <w:rPr>
          <w:rFonts w:ascii="Arial" w:hAnsi="Arial" w:cs="Arial"/>
          <w:color w:val="000000"/>
          <w:sz w:val="24"/>
          <w:szCs w:val="24"/>
        </w:rPr>
        <w:t xml:space="preserve"> </w:t>
      </w:r>
    </w:p>
    <w:p w14:paraId="7F9D339F" w14:textId="77777777" w:rsidR="000A27AF" w:rsidRPr="006232AC" w:rsidRDefault="000A27AF" w:rsidP="000A27AF">
      <w:pPr>
        <w:pStyle w:val="ListParagraph"/>
        <w:numPr>
          <w:ilvl w:val="0"/>
          <w:numId w:val="3"/>
        </w:numPr>
        <w:autoSpaceDE w:val="0"/>
        <w:autoSpaceDN w:val="0"/>
        <w:adjustRightInd w:val="0"/>
        <w:spacing w:after="48" w:line="240" w:lineRule="auto"/>
        <w:rPr>
          <w:rFonts w:ascii="Arial" w:hAnsi="Arial" w:cs="Arial"/>
          <w:color w:val="000000"/>
          <w:sz w:val="24"/>
          <w:szCs w:val="24"/>
        </w:rPr>
      </w:pPr>
      <w:r w:rsidRPr="006232AC">
        <w:rPr>
          <w:rFonts w:ascii="Arial" w:hAnsi="Arial" w:cs="Arial"/>
          <w:color w:val="000000"/>
          <w:sz w:val="24"/>
          <w:szCs w:val="24"/>
        </w:rPr>
        <w:t>The impact of different precept increases.</w:t>
      </w:r>
    </w:p>
    <w:p w14:paraId="4CD24AC7" w14:textId="77777777" w:rsidR="000A27AF" w:rsidRPr="006232AC" w:rsidRDefault="000A27AF" w:rsidP="000A27AF">
      <w:pPr>
        <w:pStyle w:val="ListParagraph"/>
        <w:numPr>
          <w:ilvl w:val="0"/>
          <w:numId w:val="3"/>
        </w:numPr>
        <w:autoSpaceDE w:val="0"/>
        <w:autoSpaceDN w:val="0"/>
        <w:adjustRightInd w:val="0"/>
        <w:spacing w:after="48" w:line="240" w:lineRule="auto"/>
        <w:rPr>
          <w:rFonts w:ascii="Arial" w:hAnsi="Arial" w:cs="Arial"/>
          <w:color w:val="000000"/>
          <w:sz w:val="24"/>
          <w:szCs w:val="24"/>
        </w:rPr>
      </w:pPr>
      <w:r w:rsidRPr="006232AC">
        <w:rPr>
          <w:rFonts w:ascii="Arial" w:hAnsi="Arial" w:cs="Arial"/>
          <w:color w:val="000000"/>
          <w:sz w:val="24"/>
          <w:szCs w:val="24"/>
        </w:rPr>
        <w:t xml:space="preserve">The delivery of the Police and Crime </w:t>
      </w:r>
      <w:proofErr w:type="gramStart"/>
      <w:r w:rsidRPr="006232AC">
        <w:rPr>
          <w:rFonts w:ascii="Arial" w:hAnsi="Arial" w:cs="Arial"/>
          <w:color w:val="000000"/>
          <w:sz w:val="24"/>
          <w:szCs w:val="24"/>
        </w:rPr>
        <w:t>Plan;</w:t>
      </w:r>
      <w:proofErr w:type="gramEnd"/>
      <w:r w:rsidRPr="006232AC">
        <w:rPr>
          <w:rFonts w:ascii="Arial" w:hAnsi="Arial" w:cs="Arial"/>
          <w:color w:val="000000"/>
          <w:sz w:val="24"/>
          <w:szCs w:val="24"/>
        </w:rPr>
        <w:t xml:space="preserve"> </w:t>
      </w:r>
    </w:p>
    <w:p w14:paraId="3A8BA36A" w14:textId="77777777" w:rsidR="000A27AF" w:rsidRPr="006232AC" w:rsidRDefault="000A27AF" w:rsidP="000A27AF">
      <w:pPr>
        <w:pStyle w:val="ListParagraph"/>
        <w:numPr>
          <w:ilvl w:val="0"/>
          <w:numId w:val="3"/>
        </w:numPr>
        <w:autoSpaceDE w:val="0"/>
        <w:autoSpaceDN w:val="0"/>
        <w:adjustRightInd w:val="0"/>
        <w:spacing w:after="48" w:line="240" w:lineRule="auto"/>
        <w:rPr>
          <w:rFonts w:ascii="Arial" w:hAnsi="Arial" w:cs="Arial"/>
          <w:color w:val="000000"/>
          <w:sz w:val="24"/>
          <w:szCs w:val="24"/>
        </w:rPr>
      </w:pPr>
      <w:r w:rsidRPr="006232AC">
        <w:rPr>
          <w:rFonts w:ascii="Arial" w:hAnsi="Arial" w:cs="Arial"/>
          <w:color w:val="000000"/>
          <w:sz w:val="24"/>
          <w:szCs w:val="24"/>
        </w:rPr>
        <w:t xml:space="preserve">The level and adequacy of </w:t>
      </w:r>
      <w:proofErr w:type="gramStart"/>
      <w:r w:rsidRPr="006232AC">
        <w:rPr>
          <w:rFonts w:ascii="Arial" w:hAnsi="Arial" w:cs="Arial"/>
          <w:color w:val="000000"/>
          <w:sz w:val="24"/>
          <w:szCs w:val="24"/>
        </w:rPr>
        <w:t>Reserves;</w:t>
      </w:r>
      <w:proofErr w:type="gramEnd"/>
      <w:r w:rsidRPr="006232AC">
        <w:rPr>
          <w:rFonts w:ascii="Arial" w:hAnsi="Arial" w:cs="Arial"/>
          <w:color w:val="000000"/>
          <w:sz w:val="24"/>
          <w:szCs w:val="24"/>
        </w:rPr>
        <w:t xml:space="preserve"> </w:t>
      </w:r>
    </w:p>
    <w:p w14:paraId="1A08DB4C" w14:textId="77777777" w:rsidR="000A27AF" w:rsidRPr="006232AC" w:rsidRDefault="000A27AF" w:rsidP="000A27AF">
      <w:pPr>
        <w:pStyle w:val="ListParagraph"/>
        <w:numPr>
          <w:ilvl w:val="0"/>
          <w:numId w:val="3"/>
        </w:numPr>
        <w:autoSpaceDE w:val="0"/>
        <w:autoSpaceDN w:val="0"/>
        <w:adjustRightInd w:val="0"/>
        <w:spacing w:after="48" w:line="240" w:lineRule="auto"/>
        <w:rPr>
          <w:rFonts w:ascii="Arial" w:hAnsi="Arial" w:cs="Arial"/>
          <w:color w:val="000000"/>
          <w:sz w:val="24"/>
          <w:szCs w:val="24"/>
        </w:rPr>
      </w:pPr>
      <w:r w:rsidRPr="006232AC">
        <w:rPr>
          <w:rFonts w:ascii="Arial" w:hAnsi="Arial" w:cs="Arial"/>
          <w:color w:val="000000"/>
          <w:sz w:val="24"/>
          <w:szCs w:val="24"/>
        </w:rPr>
        <w:t xml:space="preserve">The risks associated with the budget for </w:t>
      </w:r>
      <w:r>
        <w:rPr>
          <w:rFonts w:ascii="Arial" w:hAnsi="Arial" w:cs="Arial"/>
          <w:color w:val="000000"/>
          <w:sz w:val="24"/>
          <w:szCs w:val="24"/>
        </w:rPr>
        <w:t>2025/26</w:t>
      </w:r>
      <w:r w:rsidRPr="006232AC">
        <w:rPr>
          <w:rFonts w:ascii="Arial" w:hAnsi="Arial" w:cs="Arial"/>
          <w:color w:val="000000"/>
          <w:sz w:val="24"/>
          <w:szCs w:val="24"/>
        </w:rPr>
        <w:t xml:space="preserve"> and </w:t>
      </w:r>
      <w:proofErr w:type="gramStart"/>
      <w:r w:rsidRPr="006232AC">
        <w:rPr>
          <w:rFonts w:ascii="Arial" w:hAnsi="Arial" w:cs="Arial"/>
          <w:color w:val="000000"/>
          <w:sz w:val="24"/>
          <w:szCs w:val="24"/>
        </w:rPr>
        <w:t>beyond;</w:t>
      </w:r>
      <w:proofErr w:type="gramEnd"/>
    </w:p>
    <w:p w14:paraId="60D1B884" w14:textId="77777777" w:rsidR="000A27AF" w:rsidRPr="006232AC" w:rsidRDefault="000A27AF" w:rsidP="000A27AF">
      <w:pPr>
        <w:pStyle w:val="ListParagraph"/>
        <w:numPr>
          <w:ilvl w:val="0"/>
          <w:numId w:val="3"/>
        </w:numPr>
        <w:autoSpaceDE w:val="0"/>
        <w:autoSpaceDN w:val="0"/>
        <w:adjustRightInd w:val="0"/>
        <w:spacing w:after="48" w:line="240" w:lineRule="auto"/>
        <w:rPr>
          <w:rFonts w:ascii="Arial" w:hAnsi="Arial" w:cs="Arial"/>
          <w:color w:val="000000"/>
          <w:sz w:val="24"/>
          <w:szCs w:val="24"/>
        </w:rPr>
      </w:pPr>
      <w:r w:rsidRPr="006232AC">
        <w:rPr>
          <w:rFonts w:ascii="Arial" w:hAnsi="Arial" w:cs="Arial"/>
          <w:color w:val="000000"/>
          <w:sz w:val="24"/>
          <w:szCs w:val="24"/>
        </w:rPr>
        <w:t xml:space="preserve">The view of the Chief Constable on resourcing operational </w:t>
      </w:r>
      <w:proofErr w:type="gramStart"/>
      <w:r w:rsidRPr="006232AC">
        <w:rPr>
          <w:rFonts w:ascii="Arial" w:hAnsi="Arial" w:cs="Arial"/>
          <w:color w:val="000000"/>
          <w:sz w:val="24"/>
          <w:szCs w:val="24"/>
        </w:rPr>
        <w:t>requirements;</w:t>
      </w:r>
      <w:proofErr w:type="gramEnd"/>
      <w:r w:rsidRPr="006232AC">
        <w:rPr>
          <w:rFonts w:ascii="Arial" w:hAnsi="Arial" w:cs="Arial"/>
          <w:color w:val="000000"/>
          <w:sz w:val="24"/>
          <w:szCs w:val="24"/>
        </w:rPr>
        <w:t xml:space="preserve"> </w:t>
      </w:r>
    </w:p>
    <w:p w14:paraId="68A08BD9" w14:textId="77777777" w:rsidR="000A27AF" w:rsidRPr="006232AC" w:rsidRDefault="000A27AF" w:rsidP="000A27AF">
      <w:pPr>
        <w:pStyle w:val="ListParagraph"/>
        <w:numPr>
          <w:ilvl w:val="0"/>
          <w:numId w:val="3"/>
        </w:numPr>
        <w:autoSpaceDE w:val="0"/>
        <w:autoSpaceDN w:val="0"/>
        <w:adjustRightInd w:val="0"/>
        <w:spacing w:after="48" w:line="240" w:lineRule="auto"/>
        <w:rPr>
          <w:rFonts w:ascii="Arial" w:hAnsi="Arial" w:cs="Arial"/>
          <w:color w:val="000000"/>
          <w:sz w:val="24"/>
          <w:szCs w:val="24"/>
        </w:rPr>
      </w:pPr>
      <w:r w:rsidRPr="006232AC">
        <w:rPr>
          <w:rFonts w:ascii="Arial" w:hAnsi="Arial" w:cs="Arial"/>
          <w:color w:val="000000"/>
          <w:sz w:val="24"/>
          <w:szCs w:val="24"/>
        </w:rPr>
        <w:t xml:space="preserve">The view of the Chief Financial Officer on the robustness of the budget for </w:t>
      </w:r>
      <w:r>
        <w:rPr>
          <w:rFonts w:ascii="Arial" w:hAnsi="Arial" w:cs="Arial"/>
          <w:color w:val="000000"/>
          <w:sz w:val="24"/>
          <w:szCs w:val="24"/>
        </w:rPr>
        <w:t>2025/26</w:t>
      </w:r>
      <w:r w:rsidRPr="006232AC">
        <w:rPr>
          <w:rFonts w:ascii="Arial" w:hAnsi="Arial" w:cs="Arial"/>
          <w:color w:val="000000"/>
          <w:sz w:val="24"/>
          <w:szCs w:val="24"/>
        </w:rPr>
        <w:t>.</w:t>
      </w:r>
    </w:p>
    <w:p w14:paraId="7221F33F" w14:textId="77777777" w:rsidR="000A27AF" w:rsidRPr="006232AC" w:rsidRDefault="000A27AF" w:rsidP="000A27AF">
      <w:pPr>
        <w:pStyle w:val="ListParagraph"/>
        <w:autoSpaceDE w:val="0"/>
        <w:autoSpaceDN w:val="0"/>
        <w:adjustRightInd w:val="0"/>
        <w:spacing w:after="48" w:line="240" w:lineRule="auto"/>
        <w:rPr>
          <w:rFonts w:ascii="Arial" w:hAnsi="Arial" w:cs="Arial"/>
          <w:color w:val="000000"/>
          <w:sz w:val="24"/>
          <w:szCs w:val="24"/>
        </w:rPr>
      </w:pPr>
    </w:p>
    <w:p w14:paraId="1B7DBBEA" w14:textId="77777777" w:rsidR="000A27AF" w:rsidRPr="005E24E8" w:rsidRDefault="000A27AF" w:rsidP="000A27AF">
      <w:pPr>
        <w:pStyle w:val="Default"/>
        <w:ind w:left="360"/>
        <w:jc w:val="both"/>
        <w:rPr>
          <w:rFonts w:ascii="Arial" w:hAnsi="Arial" w:cs="Arial"/>
          <w:b/>
          <w:snapToGrid w:val="0"/>
          <w:color w:val="auto"/>
        </w:rPr>
      </w:pPr>
      <w:r w:rsidRPr="005E24E8">
        <w:rPr>
          <w:rFonts w:ascii="Arial" w:hAnsi="Arial" w:cs="Arial"/>
          <w:b/>
          <w:bCs/>
        </w:rPr>
        <w:t xml:space="preserve"> Where we have come from</w:t>
      </w:r>
    </w:p>
    <w:p w14:paraId="419EB595" w14:textId="77777777" w:rsidR="000A27AF" w:rsidRPr="001D13AF" w:rsidRDefault="000A27AF" w:rsidP="000A27AF">
      <w:pPr>
        <w:pStyle w:val="Default"/>
        <w:ind w:left="1080"/>
        <w:jc w:val="both"/>
        <w:rPr>
          <w:rFonts w:ascii="Arial" w:hAnsi="Arial" w:cs="Arial"/>
          <w:b/>
          <w:snapToGrid w:val="0"/>
          <w:color w:val="auto"/>
          <w:highlight w:val="yellow"/>
        </w:rPr>
      </w:pPr>
    </w:p>
    <w:p w14:paraId="00A8EA1A" w14:textId="77777777" w:rsidR="000A27AF" w:rsidRPr="00B76F59" w:rsidRDefault="000A27AF" w:rsidP="000A27AF">
      <w:pPr>
        <w:pStyle w:val="Default"/>
        <w:numPr>
          <w:ilvl w:val="0"/>
          <w:numId w:val="2"/>
        </w:numPr>
        <w:jc w:val="both"/>
        <w:rPr>
          <w:rFonts w:ascii="Arial" w:hAnsi="Arial" w:cs="Arial"/>
          <w:snapToGrid w:val="0"/>
          <w:color w:val="auto"/>
        </w:rPr>
      </w:pPr>
      <w:r w:rsidRPr="00B76F59">
        <w:rPr>
          <w:rFonts w:ascii="Arial" w:hAnsi="Arial" w:cs="Arial"/>
          <w:snapToGrid w:val="0"/>
          <w:color w:val="auto"/>
        </w:rPr>
        <w:t xml:space="preserve">In 2018/19, Government funding for </w:t>
      </w:r>
      <w:r>
        <w:rPr>
          <w:rFonts w:ascii="Arial" w:hAnsi="Arial" w:cs="Arial"/>
          <w:snapToGrid w:val="0"/>
          <w:color w:val="auto"/>
        </w:rPr>
        <w:t xml:space="preserve">policing </w:t>
      </w:r>
      <w:r w:rsidRPr="00B76F59">
        <w:rPr>
          <w:rFonts w:ascii="Arial" w:hAnsi="Arial" w:cs="Arial"/>
          <w:snapToGrid w:val="0"/>
          <w:color w:val="auto"/>
        </w:rPr>
        <w:t>began to increase after many years of zero growth at best. The Government also raised the referendum limit to enable PCCs to increase the Band D precept above inflation without a referendum. Finally in 2019 the Government announced its objective to recruit an additional 20,000 officers</w:t>
      </w:r>
      <w:r>
        <w:rPr>
          <w:rFonts w:ascii="Arial" w:hAnsi="Arial" w:cs="Arial"/>
          <w:snapToGrid w:val="0"/>
          <w:color w:val="auto"/>
        </w:rPr>
        <w:t xml:space="preserve"> nationally</w:t>
      </w:r>
      <w:r w:rsidRPr="00B76F59">
        <w:rPr>
          <w:rFonts w:ascii="Arial" w:hAnsi="Arial" w:cs="Arial"/>
          <w:snapToGrid w:val="0"/>
          <w:color w:val="auto"/>
        </w:rPr>
        <w:t xml:space="preserve"> (Project Uplift) over the </w:t>
      </w:r>
      <w:r>
        <w:rPr>
          <w:rFonts w:ascii="Arial" w:hAnsi="Arial" w:cs="Arial"/>
          <w:snapToGrid w:val="0"/>
          <w:color w:val="auto"/>
        </w:rPr>
        <w:t>three</w:t>
      </w:r>
      <w:r w:rsidRPr="00B76F59">
        <w:rPr>
          <w:rFonts w:ascii="Arial" w:hAnsi="Arial" w:cs="Arial"/>
          <w:snapToGrid w:val="0"/>
          <w:color w:val="auto"/>
        </w:rPr>
        <w:t xml:space="preserve"> years to March 2023 for which </w:t>
      </w:r>
      <w:r w:rsidRPr="00B76F59">
        <w:rPr>
          <w:rFonts w:ascii="Arial" w:hAnsi="Arial" w:cs="Arial"/>
          <w:snapToGrid w:val="0"/>
          <w:color w:val="auto"/>
        </w:rPr>
        <w:lastRenderedPageBreak/>
        <w:t xml:space="preserve">additional funding was provided. As a result, the group budget rose by around £100m to £309m in the 10 years to 2024/25. </w:t>
      </w:r>
    </w:p>
    <w:p w14:paraId="6B299A2B" w14:textId="77777777" w:rsidR="000A27AF" w:rsidRDefault="000A27AF" w:rsidP="000A27AF">
      <w:pPr>
        <w:pStyle w:val="Default"/>
        <w:ind w:left="1080"/>
        <w:jc w:val="both"/>
        <w:rPr>
          <w:rFonts w:ascii="Arial" w:hAnsi="Arial" w:cs="Arial"/>
          <w:snapToGrid w:val="0"/>
          <w:color w:val="auto"/>
        </w:rPr>
      </w:pPr>
    </w:p>
    <w:p w14:paraId="360C62B4" w14:textId="77777777" w:rsidR="000A27AF" w:rsidRPr="005A4B0E" w:rsidRDefault="000A27AF" w:rsidP="000A27AF">
      <w:pPr>
        <w:pStyle w:val="Default"/>
        <w:numPr>
          <w:ilvl w:val="0"/>
          <w:numId w:val="2"/>
        </w:numPr>
        <w:jc w:val="both"/>
        <w:rPr>
          <w:rFonts w:ascii="Arial" w:hAnsi="Arial" w:cs="Arial"/>
          <w:color w:val="000000" w:themeColor="text1"/>
        </w:rPr>
      </w:pPr>
      <w:r w:rsidRPr="00B76F59">
        <w:rPr>
          <w:rFonts w:ascii="Arial" w:hAnsi="Arial" w:cs="Arial"/>
          <w:snapToGrid w:val="0"/>
          <w:color w:val="auto"/>
        </w:rPr>
        <w:t>Although growth through Uplift has now finished</w:t>
      </w:r>
      <w:r>
        <w:rPr>
          <w:rFonts w:ascii="Arial" w:hAnsi="Arial" w:cs="Arial"/>
          <w:snapToGrid w:val="0"/>
          <w:color w:val="auto"/>
        </w:rPr>
        <w:t>,</w:t>
      </w:r>
      <w:r w:rsidRPr="00B76F59">
        <w:rPr>
          <w:rFonts w:ascii="Arial" w:hAnsi="Arial" w:cs="Arial"/>
          <w:snapToGrid w:val="0"/>
          <w:color w:val="auto"/>
        </w:rPr>
        <w:t xml:space="preserve"> </w:t>
      </w:r>
      <w:r>
        <w:rPr>
          <w:rFonts w:ascii="Arial" w:hAnsi="Arial" w:cs="Arial"/>
          <w:snapToGrid w:val="0"/>
          <w:color w:val="auto"/>
        </w:rPr>
        <w:t>f</w:t>
      </w:r>
      <w:r w:rsidRPr="00B76F59">
        <w:rPr>
          <w:rFonts w:ascii="Arial" w:hAnsi="Arial" w:cs="Arial"/>
          <w:snapToGrid w:val="0"/>
          <w:color w:val="auto"/>
        </w:rPr>
        <w:t xml:space="preserve">orces are expected to maintain numbers or suffer a financial penalty. Surrey has managed to hit these milestones </w:t>
      </w:r>
      <w:r>
        <w:rPr>
          <w:rFonts w:ascii="Arial" w:hAnsi="Arial" w:cs="Arial"/>
          <w:snapToGrid w:val="0"/>
          <w:color w:val="auto"/>
        </w:rPr>
        <w:t xml:space="preserve">and </w:t>
      </w:r>
      <w:r w:rsidRPr="00B76F59">
        <w:rPr>
          <w:rFonts w:ascii="Arial" w:hAnsi="Arial" w:cs="Arial"/>
          <w:snapToGrid w:val="0"/>
          <w:color w:val="auto"/>
        </w:rPr>
        <w:t xml:space="preserve">will need to continue to recruit and train large numbers of officers to replace those that leave or retire. It also cannot reduce </w:t>
      </w:r>
      <w:r>
        <w:rPr>
          <w:rFonts w:ascii="Arial" w:hAnsi="Arial" w:cs="Arial"/>
          <w:snapToGrid w:val="0"/>
          <w:color w:val="auto"/>
        </w:rPr>
        <w:t>o</w:t>
      </w:r>
      <w:r w:rsidRPr="00B76F59">
        <w:rPr>
          <w:rFonts w:ascii="Arial" w:hAnsi="Arial" w:cs="Arial"/>
          <w:snapToGrid w:val="0"/>
          <w:color w:val="auto"/>
        </w:rPr>
        <w:t>fficer numbers to achieve efficiencies.</w:t>
      </w:r>
    </w:p>
    <w:p w14:paraId="143354CE" w14:textId="77777777" w:rsidR="000A27AF" w:rsidRPr="00B76F59" w:rsidRDefault="000A27AF" w:rsidP="000A27AF">
      <w:pPr>
        <w:pStyle w:val="Default"/>
        <w:ind w:left="1080"/>
        <w:jc w:val="both"/>
        <w:rPr>
          <w:rFonts w:ascii="Arial" w:hAnsi="Arial" w:cs="Arial"/>
          <w:snapToGrid w:val="0"/>
          <w:color w:val="auto"/>
        </w:rPr>
      </w:pPr>
    </w:p>
    <w:p w14:paraId="10492C45" w14:textId="77777777" w:rsidR="000A27AF" w:rsidRDefault="000A27AF" w:rsidP="000A27AF">
      <w:pPr>
        <w:pStyle w:val="Default"/>
        <w:numPr>
          <w:ilvl w:val="0"/>
          <w:numId w:val="2"/>
        </w:numPr>
        <w:jc w:val="both"/>
        <w:rPr>
          <w:rFonts w:ascii="Arial" w:hAnsi="Arial" w:cs="Arial"/>
          <w:snapToGrid w:val="0"/>
          <w:color w:val="auto"/>
        </w:rPr>
      </w:pPr>
      <w:r w:rsidRPr="00B76F59">
        <w:rPr>
          <w:rFonts w:ascii="Arial" w:hAnsi="Arial" w:cs="Arial"/>
          <w:snapToGrid w:val="0"/>
          <w:color w:val="auto"/>
        </w:rPr>
        <w:t xml:space="preserve">In the last couple of years, the Government has also provided additional funding to offset the cost of the pay review body recommendations on </w:t>
      </w:r>
      <w:r>
        <w:rPr>
          <w:rFonts w:ascii="Arial" w:hAnsi="Arial" w:cs="Arial"/>
          <w:snapToGrid w:val="0"/>
          <w:color w:val="auto"/>
        </w:rPr>
        <w:t>p</w:t>
      </w:r>
      <w:r w:rsidRPr="00B76F59">
        <w:rPr>
          <w:rFonts w:ascii="Arial" w:hAnsi="Arial" w:cs="Arial"/>
          <w:snapToGrid w:val="0"/>
          <w:color w:val="auto"/>
        </w:rPr>
        <w:t xml:space="preserve">olice pay. In theory this grant has been given to offset the cost of the pay rise over 2.5% however in reality due to the way the money is distributed this does not cover the entire cost – and there is no guarantee that this additional funding will be put in the baseline going forward. </w:t>
      </w:r>
    </w:p>
    <w:p w14:paraId="623406D7" w14:textId="77777777" w:rsidR="000A27AF" w:rsidRPr="00B76F59" w:rsidRDefault="000A27AF" w:rsidP="000A27AF">
      <w:pPr>
        <w:pStyle w:val="Default"/>
        <w:jc w:val="both"/>
        <w:rPr>
          <w:rFonts w:ascii="Arial" w:hAnsi="Arial" w:cs="Arial"/>
          <w:snapToGrid w:val="0"/>
          <w:color w:val="auto"/>
        </w:rPr>
      </w:pPr>
    </w:p>
    <w:p w14:paraId="00F753A8" w14:textId="77777777" w:rsidR="000A27AF" w:rsidRPr="00F2225F" w:rsidRDefault="000A27AF" w:rsidP="000A27AF">
      <w:pPr>
        <w:pStyle w:val="Default"/>
        <w:numPr>
          <w:ilvl w:val="0"/>
          <w:numId w:val="2"/>
        </w:numPr>
        <w:jc w:val="both"/>
        <w:rPr>
          <w:snapToGrid w:val="0"/>
        </w:rPr>
      </w:pPr>
      <w:r w:rsidRPr="00F2225F">
        <w:rPr>
          <w:rFonts w:ascii="Arial" w:hAnsi="Arial" w:cs="Arial"/>
          <w:snapToGrid w:val="0"/>
          <w:color w:val="auto"/>
        </w:rPr>
        <w:t xml:space="preserve">The Force has made significant savings over the last 10 years. Not only were the savings needed for 2024/25 found but additional savings were driven out to contribute to the 2025/26 savings requirement. </w:t>
      </w:r>
    </w:p>
    <w:p w14:paraId="2B50F693" w14:textId="77777777" w:rsidR="000A27AF" w:rsidRPr="00B76F59" w:rsidRDefault="000A27AF" w:rsidP="000A27AF">
      <w:pPr>
        <w:pStyle w:val="Default"/>
        <w:ind w:left="1080"/>
        <w:jc w:val="center"/>
        <w:rPr>
          <w:rFonts w:ascii="Arial" w:hAnsi="Arial" w:cs="Arial"/>
          <w:snapToGrid w:val="0"/>
          <w:color w:val="auto"/>
        </w:rPr>
      </w:pPr>
    </w:p>
    <w:p w14:paraId="5C103520" w14:textId="77777777" w:rsidR="000A27AF" w:rsidRPr="0050145D" w:rsidRDefault="000A27AF" w:rsidP="000A27AF">
      <w:pPr>
        <w:pStyle w:val="Default"/>
        <w:ind w:left="360"/>
        <w:jc w:val="both"/>
        <w:rPr>
          <w:rFonts w:ascii="Arial" w:hAnsi="Arial" w:cs="Arial"/>
          <w:b/>
          <w:bCs/>
          <w:highlight w:val="yellow"/>
        </w:rPr>
      </w:pPr>
    </w:p>
    <w:p w14:paraId="74D2FC27" w14:textId="77777777" w:rsidR="000A27AF" w:rsidRPr="005A4B0E" w:rsidRDefault="000A27AF" w:rsidP="000A27AF">
      <w:pPr>
        <w:pStyle w:val="Default"/>
        <w:ind w:left="360"/>
        <w:jc w:val="both"/>
        <w:rPr>
          <w:rFonts w:ascii="Arial" w:hAnsi="Arial" w:cs="Arial"/>
          <w:b/>
          <w:bCs/>
        </w:rPr>
      </w:pPr>
      <w:r w:rsidRPr="005A4B0E">
        <w:rPr>
          <w:rFonts w:ascii="Arial" w:hAnsi="Arial" w:cs="Arial"/>
          <w:b/>
          <w:bCs/>
        </w:rPr>
        <w:t>Where are we now</w:t>
      </w:r>
    </w:p>
    <w:p w14:paraId="5D205F80" w14:textId="77777777" w:rsidR="000A27AF" w:rsidRDefault="000A27AF" w:rsidP="000A27AF">
      <w:pPr>
        <w:pStyle w:val="Default"/>
        <w:ind w:left="360"/>
        <w:jc w:val="both"/>
        <w:rPr>
          <w:rFonts w:ascii="Arial" w:hAnsi="Arial" w:cs="Arial"/>
          <w:b/>
          <w:bCs/>
          <w:highlight w:val="yellow"/>
        </w:rPr>
      </w:pPr>
    </w:p>
    <w:p w14:paraId="3DFC8ABD" w14:textId="77777777" w:rsidR="000A27AF" w:rsidRPr="00B76F59" w:rsidRDefault="000A27AF" w:rsidP="000A27AF">
      <w:pPr>
        <w:pStyle w:val="Default"/>
        <w:numPr>
          <w:ilvl w:val="0"/>
          <w:numId w:val="2"/>
        </w:numPr>
        <w:jc w:val="both"/>
        <w:rPr>
          <w:rFonts w:ascii="Arial" w:hAnsi="Arial" w:cs="Arial"/>
          <w:snapToGrid w:val="0"/>
          <w:color w:val="auto"/>
        </w:rPr>
      </w:pPr>
      <w:r w:rsidRPr="00B76F59">
        <w:rPr>
          <w:rFonts w:ascii="Arial" w:hAnsi="Arial" w:cs="Arial"/>
          <w:snapToGrid w:val="0"/>
          <w:color w:val="auto"/>
        </w:rPr>
        <w:t>Last year the Chief Constable, Tim de Meyer, set out his vision for the Force and how it was going to be more responsive to public concerns. This was launched as “Our Plan” last year and</w:t>
      </w:r>
      <w:r>
        <w:rPr>
          <w:rFonts w:ascii="Arial" w:hAnsi="Arial" w:cs="Arial"/>
          <w:snapToGrid w:val="0"/>
          <w:color w:val="auto"/>
        </w:rPr>
        <w:t>,</w:t>
      </w:r>
      <w:r w:rsidRPr="00B76F59">
        <w:rPr>
          <w:rFonts w:ascii="Arial" w:hAnsi="Arial" w:cs="Arial"/>
          <w:snapToGrid w:val="0"/>
          <w:color w:val="auto"/>
        </w:rPr>
        <w:t xml:space="preserve"> through </w:t>
      </w:r>
      <w:r>
        <w:rPr>
          <w:rFonts w:ascii="Arial" w:hAnsi="Arial" w:cs="Arial"/>
          <w:snapToGrid w:val="0"/>
          <w:color w:val="auto"/>
        </w:rPr>
        <w:t xml:space="preserve">a </w:t>
      </w:r>
      <w:r w:rsidRPr="00B76F59">
        <w:rPr>
          <w:rFonts w:ascii="Arial" w:hAnsi="Arial" w:cs="Arial"/>
          <w:snapToGrid w:val="0"/>
          <w:color w:val="auto"/>
        </w:rPr>
        <w:t>series of meetings across the county</w:t>
      </w:r>
      <w:r>
        <w:rPr>
          <w:rFonts w:ascii="Arial" w:hAnsi="Arial" w:cs="Arial"/>
          <w:snapToGrid w:val="0"/>
          <w:color w:val="auto"/>
        </w:rPr>
        <w:t>,</w:t>
      </w:r>
      <w:r w:rsidRPr="00B76F59">
        <w:rPr>
          <w:rFonts w:ascii="Arial" w:hAnsi="Arial" w:cs="Arial"/>
          <w:snapToGrid w:val="0"/>
          <w:color w:val="auto"/>
        </w:rPr>
        <w:t xml:space="preserve"> residents were given the opportunity to </w:t>
      </w:r>
      <w:r>
        <w:rPr>
          <w:rFonts w:ascii="Arial" w:hAnsi="Arial" w:cs="Arial"/>
          <w:snapToGrid w:val="0"/>
          <w:color w:val="auto"/>
        </w:rPr>
        <w:t xml:space="preserve">hear and </w:t>
      </w:r>
      <w:r w:rsidRPr="00B76F59">
        <w:rPr>
          <w:rFonts w:ascii="Arial" w:hAnsi="Arial" w:cs="Arial"/>
          <w:snapToGrid w:val="0"/>
          <w:color w:val="auto"/>
        </w:rPr>
        <w:t xml:space="preserve">talk about it with the Chief Constable and the Commissioner. </w:t>
      </w:r>
    </w:p>
    <w:p w14:paraId="1C635B50" w14:textId="77777777" w:rsidR="000A27AF" w:rsidRPr="00B76F59" w:rsidRDefault="000A27AF" w:rsidP="000A27AF">
      <w:pPr>
        <w:pStyle w:val="Default"/>
        <w:ind w:left="1080"/>
        <w:jc w:val="both"/>
        <w:rPr>
          <w:rFonts w:ascii="Arial" w:hAnsi="Arial" w:cs="Arial"/>
          <w:snapToGrid w:val="0"/>
          <w:color w:val="auto"/>
        </w:rPr>
      </w:pPr>
    </w:p>
    <w:p w14:paraId="2AB2E00F" w14:textId="77777777" w:rsidR="000A27AF" w:rsidRDefault="000A27AF" w:rsidP="000A27AF">
      <w:pPr>
        <w:pStyle w:val="Default"/>
        <w:numPr>
          <w:ilvl w:val="0"/>
          <w:numId w:val="2"/>
        </w:numPr>
        <w:jc w:val="both"/>
        <w:rPr>
          <w:rFonts w:ascii="Arial" w:hAnsi="Arial" w:cs="Arial"/>
          <w:snapToGrid w:val="0"/>
          <w:color w:val="auto"/>
        </w:rPr>
      </w:pPr>
      <w:r w:rsidRPr="00B76F59">
        <w:rPr>
          <w:rFonts w:ascii="Arial" w:hAnsi="Arial" w:cs="Arial"/>
          <w:snapToGrid w:val="0"/>
          <w:color w:val="auto"/>
        </w:rPr>
        <w:t>Our Plan can be summed up as follows:</w:t>
      </w:r>
    </w:p>
    <w:p w14:paraId="2B4A6AAE" w14:textId="77777777" w:rsidR="000A27AF" w:rsidRPr="00B76F59" w:rsidRDefault="000A27AF" w:rsidP="000A27AF">
      <w:pPr>
        <w:pStyle w:val="Default"/>
        <w:jc w:val="both"/>
        <w:rPr>
          <w:rFonts w:ascii="Arial" w:hAnsi="Arial" w:cs="Arial"/>
          <w:snapToGrid w:val="0"/>
          <w:color w:val="auto"/>
        </w:rPr>
      </w:pPr>
      <w:r w:rsidRPr="00B76F59">
        <w:rPr>
          <w:rFonts w:ascii="Arial" w:hAnsi="Arial" w:cs="Arial"/>
          <w:snapToGrid w:val="0"/>
          <w:color w:val="auto"/>
        </w:rPr>
        <w:t xml:space="preserve"> </w:t>
      </w:r>
    </w:p>
    <w:p w14:paraId="60EB56C6" w14:textId="77777777" w:rsidR="000A27AF" w:rsidRPr="00B76F59" w:rsidRDefault="000A27AF" w:rsidP="000A27AF">
      <w:pPr>
        <w:pStyle w:val="Default"/>
        <w:ind w:left="1080"/>
        <w:jc w:val="both"/>
        <w:rPr>
          <w:rFonts w:ascii="Arial" w:hAnsi="Arial" w:cs="Arial"/>
          <w:snapToGrid w:val="0"/>
          <w:color w:val="auto"/>
        </w:rPr>
      </w:pPr>
      <w:r w:rsidRPr="00B76F59">
        <w:rPr>
          <w:rFonts w:ascii="Arial" w:hAnsi="Arial" w:cs="Arial"/>
          <w:snapToGrid w:val="0"/>
          <w:color w:val="auto"/>
        </w:rPr>
        <w:t>“Surrey Police fights crime and protects people. We strive to earn the trust and confidence of all our communities. Here for everyone who needs us, we put service before self”.</w:t>
      </w:r>
    </w:p>
    <w:p w14:paraId="3F6CC14C" w14:textId="77777777" w:rsidR="000A27AF" w:rsidRPr="00B76F59" w:rsidRDefault="000A27AF" w:rsidP="000A27AF">
      <w:pPr>
        <w:pStyle w:val="Default"/>
        <w:ind w:left="1080"/>
        <w:jc w:val="both"/>
        <w:rPr>
          <w:rFonts w:ascii="Arial" w:hAnsi="Arial" w:cs="Arial"/>
          <w:snapToGrid w:val="0"/>
          <w:color w:val="auto"/>
        </w:rPr>
      </w:pPr>
    </w:p>
    <w:p w14:paraId="4A405281" w14:textId="77777777" w:rsidR="000A27AF" w:rsidRPr="00B76F59" w:rsidRDefault="000A27AF" w:rsidP="000A27AF">
      <w:pPr>
        <w:pStyle w:val="Default"/>
        <w:ind w:left="1080"/>
        <w:jc w:val="both"/>
        <w:rPr>
          <w:rFonts w:ascii="Arial" w:hAnsi="Arial" w:cs="Arial"/>
          <w:snapToGrid w:val="0"/>
          <w:color w:val="auto"/>
        </w:rPr>
      </w:pPr>
      <w:r w:rsidRPr="00B76F59">
        <w:rPr>
          <w:rFonts w:ascii="Arial" w:hAnsi="Arial" w:cs="Arial"/>
          <w:snapToGrid w:val="0"/>
          <w:color w:val="auto"/>
        </w:rPr>
        <w:t>This statement is reflected in three objectives:</w:t>
      </w:r>
    </w:p>
    <w:p w14:paraId="20AA0D29" w14:textId="77777777" w:rsidR="000A27AF" w:rsidRPr="00B76F59" w:rsidRDefault="000A27AF" w:rsidP="000A27AF">
      <w:pPr>
        <w:pStyle w:val="Default"/>
        <w:ind w:left="1080"/>
        <w:jc w:val="both"/>
        <w:rPr>
          <w:rFonts w:ascii="Arial" w:hAnsi="Arial" w:cs="Arial"/>
          <w:snapToGrid w:val="0"/>
          <w:color w:val="auto"/>
        </w:rPr>
      </w:pPr>
    </w:p>
    <w:p w14:paraId="36C79FC2" w14:textId="77777777" w:rsidR="000A27AF" w:rsidRPr="00B76F59" w:rsidRDefault="000A27AF" w:rsidP="000A27AF">
      <w:pPr>
        <w:pStyle w:val="Default"/>
        <w:numPr>
          <w:ilvl w:val="0"/>
          <w:numId w:val="11"/>
        </w:numPr>
        <w:jc w:val="both"/>
        <w:rPr>
          <w:rFonts w:ascii="Arial" w:hAnsi="Arial" w:cs="Arial"/>
          <w:snapToGrid w:val="0"/>
          <w:color w:val="auto"/>
        </w:rPr>
      </w:pPr>
      <w:r w:rsidRPr="00B76F59">
        <w:rPr>
          <w:rFonts w:ascii="Arial" w:hAnsi="Arial" w:cs="Arial"/>
          <w:snapToGrid w:val="0"/>
          <w:color w:val="auto"/>
        </w:rPr>
        <w:t>We prevent crime and solve problems.</w:t>
      </w:r>
    </w:p>
    <w:p w14:paraId="2348A25B" w14:textId="77777777" w:rsidR="000A27AF" w:rsidRPr="00B76F59" w:rsidRDefault="000A27AF" w:rsidP="000A27AF">
      <w:pPr>
        <w:pStyle w:val="Default"/>
        <w:numPr>
          <w:ilvl w:val="0"/>
          <w:numId w:val="11"/>
        </w:numPr>
        <w:jc w:val="both"/>
        <w:rPr>
          <w:rFonts w:ascii="Arial" w:hAnsi="Arial" w:cs="Arial"/>
          <w:snapToGrid w:val="0"/>
          <w:color w:val="auto"/>
        </w:rPr>
      </w:pPr>
      <w:r w:rsidRPr="00B76F59">
        <w:rPr>
          <w:rFonts w:ascii="Arial" w:hAnsi="Arial" w:cs="Arial"/>
          <w:snapToGrid w:val="0"/>
          <w:color w:val="auto"/>
        </w:rPr>
        <w:t>We investigate crime thoroughly.</w:t>
      </w:r>
    </w:p>
    <w:p w14:paraId="34893E79" w14:textId="77777777" w:rsidR="000A27AF" w:rsidRPr="00B76F59" w:rsidRDefault="000A27AF" w:rsidP="000A27AF">
      <w:pPr>
        <w:pStyle w:val="Default"/>
        <w:numPr>
          <w:ilvl w:val="0"/>
          <w:numId w:val="11"/>
        </w:numPr>
        <w:jc w:val="both"/>
        <w:rPr>
          <w:rFonts w:ascii="Arial" w:hAnsi="Arial" w:cs="Arial"/>
          <w:snapToGrid w:val="0"/>
          <w:color w:val="auto"/>
        </w:rPr>
      </w:pPr>
      <w:r w:rsidRPr="00B76F59">
        <w:rPr>
          <w:rFonts w:ascii="Arial" w:hAnsi="Arial" w:cs="Arial"/>
          <w:snapToGrid w:val="0"/>
          <w:color w:val="auto"/>
        </w:rPr>
        <w:t>We pursue criminals relentlessly.</w:t>
      </w:r>
    </w:p>
    <w:p w14:paraId="102E7164" w14:textId="77777777" w:rsidR="000A27AF" w:rsidRPr="00B76F59" w:rsidRDefault="000A27AF" w:rsidP="000A27AF">
      <w:pPr>
        <w:pStyle w:val="Default"/>
        <w:ind w:left="1440"/>
        <w:jc w:val="both"/>
        <w:rPr>
          <w:rFonts w:ascii="Arial" w:hAnsi="Arial" w:cs="Arial"/>
          <w:snapToGrid w:val="0"/>
          <w:color w:val="auto"/>
        </w:rPr>
      </w:pPr>
    </w:p>
    <w:p w14:paraId="60C0BD1A" w14:textId="77777777" w:rsidR="000A27AF" w:rsidRPr="00B76F59" w:rsidRDefault="000A27AF" w:rsidP="000A27AF">
      <w:pPr>
        <w:pStyle w:val="Default"/>
        <w:ind w:left="1080"/>
        <w:jc w:val="both"/>
        <w:rPr>
          <w:rFonts w:ascii="Arial" w:hAnsi="Arial" w:cs="Arial"/>
          <w:snapToGrid w:val="0"/>
          <w:color w:val="auto"/>
        </w:rPr>
      </w:pPr>
      <w:r w:rsidRPr="00B76F59">
        <w:rPr>
          <w:rFonts w:ascii="Arial" w:hAnsi="Arial" w:cs="Arial"/>
          <w:snapToGrid w:val="0"/>
          <w:color w:val="auto"/>
        </w:rPr>
        <w:t xml:space="preserve">This has meant a renewed focus on tackling anti-social behaviour, cracking down on shoplifting gangs, drug dealers and burglars in our communities and taking the most dangerous and persistent offenders off our streets. </w:t>
      </w:r>
    </w:p>
    <w:p w14:paraId="5D237BFD" w14:textId="77777777" w:rsidR="000A27AF" w:rsidRPr="00B76F59" w:rsidRDefault="000A27AF" w:rsidP="000A27AF">
      <w:pPr>
        <w:pStyle w:val="Default"/>
        <w:ind w:left="1080"/>
        <w:jc w:val="both"/>
        <w:rPr>
          <w:rFonts w:ascii="Arial" w:hAnsi="Arial" w:cs="Arial"/>
          <w:snapToGrid w:val="0"/>
          <w:color w:val="auto"/>
        </w:rPr>
      </w:pPr>
      <w:r w:rsidRPr="00B76F59">
        <w:rPr>
          <w:rFonts w:ascii="Arial" w:hAnsi="Arial" w:cs="Arial"/>
          <w:snapToGrid w:val="0"/>
          <w:color w:val="auto"/>
        </w:rPr>
        <w:t xml:space="preserve"> </w:t>
      </w:r>
    </w:p>
    <w:p w14:paraId="3558882E" w14:textId="77777777" w:rsidR="000A27AF" w:rsidRPr="00B76F59" w:rsidRDefault="000A27AF" w:rsidP="000A27AF">
      <w:pPr>
        <w:pStyle w:val="Default"/>
        <w:numPr>
          <w:ilvl w:val="0"/>
          <w:numId w:val="2"/>
        </w:numPr>
        <w:jc w:val="both"/>
        <w:rPr>
          <w:rFonts w:ascii="Arial" w:hAnsi="Arial" w:cs="Arial"/>
          <w:snapToGrid w:val="0"/>
          <w:color w:val="auto"/>
        </w:rPr>
      </w:pPr>
      <w:r w:rsidRPr="00B76F59">
        <w:rPr>
          <w:rFonts w:ascii="Arial" w:hAnsi="Arial" w:cs="Arial"/>
          <w:snapToGrid w:val="0"/>
          <w:color w:val="auto"/>
        </w:rPr>
        <w:t>As a result of the increase in the precept last year and a renewed focus on the three objectives above</w:t>
      </w:r>
      <w:r>
        <w:rPr>
          <w:rFonts w:ascii="Arial" w:hAnsi="Arial" w:cs="Arial"/>
          <w:snapToGrid w:val="0"/>
          <w:color w:val="auto"/>
        </w:rPr>
        <w:t>,</w:t>
      </w:r>
      <w:r w:rsidRPr="00B76F59">
        <w:rPr>
          <w:rFonts w:ascii="Arial" w:hAnsi="Arial" w:cs="Arial"/>
          <w:snapToGrid w:val="0"/>
          <w:color w:val="auto"/>
        </w:rPr>
        <w:t xml:space="preserve"> this plan has now started to bear fruit with successes in </w:t>
      </w:r>
      <w:proofErr w:type="gramStart"/>
      <w:r>
        <w:rPr>
          <w:rFonts w:ascii="Arial" w:hAnsi="Arial" w:cs="Arial"/>
          <w:snapToGrid w:val="0"/>
          <w:color w:val="auto"/>
        </w:rPr>
        <w:t>a number of</w:t>
      </w:r>
      <w:proofErr w:type="gramEnd"/>
      <w:r>
        <w:rPr>
          <w:rFonts w:ascii="Arial" w:hAnsi="Arial" w:cs="Arial"/>
          <w:snapToGrid w:val="0"/>
          <w:color w:val="auto"/>
        </w:rPr>
        <w:t xml:space="preserve"> areas resulting in Surrey being one of the fastest improving Forces in the country.</w:t>
      </w:r>
      <w:r w:rsidRPr="00B76F59">
        <w:rPr>
          <w:rFonts w:ascii="Arial" w:hAnsi="Arial" w:cs="Arial"/>
          <w:snapToGrid w:val="0"/>
          <w:color w:val="auto"/>
        </w:rPr>
        <w:t xml:space="preserve"> </w:t>
      </w:r>
    </w:p>
    <w:p w14:paraId="206D1C70" w14:textId="77777777" w:rsidR="000A27AF" w:rsidRPr="00B76F59" w:rsidRDefault="000A27AF" w:rsidP="000A27AF">
      <w:pPr>
        <w:pStyle w:val="Default"/>
        <w:jc w:val="both"/>
        <w:rPr>
          <w:rFonts w:ascii="Arial" w:hAnsi="Arial" w:cs="Arial"/>
          <w:snapToGrid w:val="0"/>
          <w:color w:val="auto"/>
        </w:rPr>
      </w:pPr>
      <w:r w:rsidRPr="00B76F59">
        <w:rPr>
          <w:rFonts w:ascii="Arial" w:hAnsi="Arial" w:cs="Arial"/>
          <w:snapToGrid w:val="0"/>
          <w:color w:val="auto"/>
        </w:rPr>
        <w:t xml:space="preserve"> </w:t>
      </w:r>
    </w:p>
    <w:p w14:paraId="14E8B25B" w14:textId="77777777" w:rsidR="000A27AF" w:rsidRPr="00B76F59" w:rsidRDefault="000A27AF" w:rsidP="000A27AF">
      <w:pPr>
        <w:pStyle w:val="Default"/>
        <w:ind w:left="1080"/>
        <w:jc w:val="both"/>
        <w:rPr>
          <w:rFonts w:ascii="Arial" w:hAnsi="Arial" w:cs="Arial"/>
          <w:snapToGrid w:val="0"/>
          <w:color w:val="auto"/>
        </w:rPr>
      </w:pPr>
    </w:p>
    <w:p w14:paraId="3E0F1357" w14:textId="77777777" w:rsidR="000A27AF" w:rsidRPr="00C10358" w:rsidRDefault="000A27AF" w:rsidP="000A27AF">
      <w:pPr>
        <w:pStyle w:val="Default"/>
        <w:numPr>
          <w:ilvl w:val="0"/>
          <w:numId w:val="2"/>
        </w:numPr>
        <w:jc w:val="both"/>
        <w:rPr>
          <w:b/>
          <w:bCs/>
          <w:snapToGrid w:val="0"/>
        </w:rPr>
      </w:pPr>
      <w:r w:rsidRPr="00B76F59">
        <w:rPr>
          <w:rFonts w:ascii="Arial" w:hAnsi="Arial" w:cs="Arial"/>
          <w:snapToGrid w:val="0"/>
          <w:color w:val="auto"/>
        </w:rPr>
        <w:t xml:space="preserve">The Chief Constable, with the support of the PCC, is keen to continue to drive improvements and has made the following commitments for </w:t>
      </w:r>
      <w:r>
        <w:rPr>
          <w:rFonts w:ascii="Arial" w:hAnsi="Arial" w:cs="Arial"/>
          <w:snapToGrid w:val="0"/>
          <w:color w:val="auto"/>
        </w:rPr>
        <w:t xml:space="preserve">improvement for </w:t>
      </w:r>
      <w:r w:rsidRPr="00B76F59">
        <w:rPr>
          <w:rFonts w:ascii="Arial" w:hAnsi="Arial" w:cs="Arial"/>
          <w:snapToGrid w:val="0"/>
          <w:color w:val="auto"/>
        </w:rPr>
        <w:t>2025/26</w:t>
      </w:r>
      <w:r>
        <w:rPr>
          <w:rFonts w:ascii="Arial" w:hAnsi="Arial" w:cs="Arial"/>
          <w:snapToGrid w:val="0"/>
          <w:color w:val="auto"/>
        </w:rPr>
        <w:t xml:space="preserve"> in exchange for the Precept </w:t>
      </w:r>
      <w:proofErr w:type="gramStart"/>
      <w:r>
        <w:rPr>
          <w:rFonts w:ascii="Arial" w:hAnsi="Arial" w:cs="Arial"/>
          <w:snapToGrid w:val="0"/>
          <w:color w:val="auto"/>
        </w:rPr>
        <w:t xml:space="preserve">increase </w:t>
      </w:r>
      <w:r w:rsidRPr="00B76F59">
        <w:rPr>
          <w:rFonts w:ascii="Arial" w:hAnsi="Arial" w:cs="Arial"/>
          <w:snapToGrid w:val="0"/>
          <w:color w:val="auto"/>
        </w:rPr>
        <w:t>:</w:t>
      </w:r>
      <w:proofErr w:type="gramEnd"/>
    </w:p>
    <w:p w14:paraId="6365D8FB" w14:textId="77777777" w:rsidR="000A27AF" w:rsidRPr="00B76F59" w:rsidRDefault="000A27AF" w:rsidP="000A27AF">
      <w:pPr>
        <w:pStyle w:val="Default"/>
        <w:ind w:left="360"/>
        <w:jc w:val="both"/>
        <w:rPr>
          <w:b/>
          <w:bCs/>
          <w:snapToGrid w:val="0"/>
        </w:rPr>
      </w:pPr>
    </w:p>
    <w:p w14:paraId="5541EFFF" w14:textId="77777777" w:rsidR="000A27AF" w:rsidRPr="00B76F59" w:rsidRDefault="000A27AF" w:rsidP="000A27AF">
      <w:pPr>
        <w:pStyle w:val="Default"/>
        <w:numPr>
          <w:ilvl w:val="0"/>
          <w:numId w:val="12"/>
        </w:numPr>
        <w:jc w:val="both"/>
        <w:rPr>
          <w:rFonts w:ascii="Arial" w:hAnsi="Arial" w:cs="Arial"/>
          <w:snapToGrid w:val="0"/>
          <w:color w:val="auto"/>
        </w:rPr>
      </w:pPr>
      <w:r w:rsidRPr="00B76F59">
        <w:rPr>
          <w:rFonts w:ascii="Arial" w:hAnsi="Arial" w:cs="Arial"/>
          <w:snapToGrid w:val="0"/>
          <w:color w:val="auto"/>
        </w:rPr>
        <w:t>Continue to recruit and retain officers and staff in an increasingly challenging market.</w:t>
      </w:r>
    </w:p>
    <w:p w14:paraId="5DA0E92B" w14:textId="77777777" w:rsidR="000A27AF" w:rsidRPr="00B76F59" w:rsidRDefault="000A27AF" w:rsidP="000A27AF">
      <w:pPr>
        <w:pStyle w:val="Default"/>
        <w:numPr>
          <w:ilvl w:val="0"/>
          <w:numId w:val="12"/>
        </w:numPr>
        <w:jc w:val="both"/>
        <w:rPr>
          <w:rFonts w:ascii="Arial" w:hAnsi="Arial" w:cs="Arial"/>
          <w:snapToGrid w:val="0"/>
          <w:color w:val="auto"/>
        </w:rPr>
      </w:pPr>
      <w:r w:rsidRPr="00B76F59">
        <w:rPr>
          <w:rFonts w:ascii="Arial" w:hAnsi="Arial" w:cs="Arial"/>
          <w:snapToGrid w:val="0"/>
          <w:color w:val="auto"/>
        </w:rPr>
        <w:t>Improve our charge rate still further to be in the top half of the table nationally. i.e. Move from 34th place to 22nd or higher.</w:t>
      </w:r>
    </w:p>
    <w:p w14:paraId="011E072B" w14:textId="77777777" w:rsidR="000A27AF" w:rsidRPr="00B76F59" w:rsidRDefault="000A27AF" w:rsidP="000A27AF">
      <w:pPr>
        <w:pStyle w:val="Default"/>
        <w:numPr>
          <w:ilvl w:val="0"/>
          <w:numId w:val="12"/>
        </w:numPr>
        <w:jc w:val="both"/>
        <w:rPr>
          <w:rFonts w:ascii="Arial" w:hAnsi="Arial" w:cs="Arial"/>
          <w:snapToGrid w:val="0"/>
          <w:color w:val="auto"/>
        </w:rPr>
      </w:pPr>
      <w:r w:rsidRPr="00B76F59">
        <w:rPr>
          <w:rFonts w:ascii="Arial" w:hAnsi="Arial" w:cs="Arial"/>
          <w:snapToGrid w:val="0"/>
          <w:color w:val="auto"/>
        </w:rPr>
        <w:t>Maintain and build on our dramatic progress in Year 1</w:t>
      </w:r>
    </w:p>
    <w:p w14:paraId="7805A95A" w14:textId="77777777" w:rsidR="000A27AF" w:rsidRPr="00B76F59" w:rsidRDefault="000A27AF" w:rsidP="000A27AF">
      <w:pPr>
        <w:pStyle w:val="Default"/>
        <w:numPr>
          <w:ilvl w:val="0"/>
          <w:numId w:val="12"/>
        </w:numPr>
        <w:jc w:val="both"/>
        <w:rPr>
          <w:rFonts w:ascii="Arial" w:hAnsi="Arial" w:cs="Arial"/>
          <w:snapToGrid w:val="0"/>
          <w:color w:val="auto"/>
        </w:rPr>
      </w:pPr>
      <w:r w:rsidRPr="00B76F59">
        <w:rPr>
          <w:rFonts w:ascii="Arial" w:hAnsi="Arial" w:cs="Arial"/>
          <w:snapToGrid w:val="0"/>
          <w:color w:val="auto"/>
        </w:rPr>
        <w:t>Continue to build on the charge rate for shoplifting to beat the national average.</w:t>
      </w:r>
    </w:p>
    <w:p w14:paraId="0C3ECC66" w14:textId="77777777" w:rsidR="000A27AF" w:rsidRPr="00B76F59" w:rsidRDefault="000A27AF" w:rsidP="000A27AF">
      <w:pPr>
        <w:pStyle w:val="Default"/>
        <w:numPr>
          <w:ilvl w:val="0"/>
          <w:numId w:val="12"/>
        </w:numPr>
        <w:jc w:val="both"/>
        <w:rPr>
          <w:rFonts w:ascii="Arial" w:hAnsi="Arial" w:cs="Arial"/>
          <w:snapToGrid w:val="0"/>
          <w:color w:val="auto"/>
        </w:rPr>
      </w:pPr>
      <w:r w:rsidRPr="00B76F59">
        <w:rPr>
          <w:rFonts w:ascii="Arial" w:hAnsi="Arial" w:cs="Arial"/>
          <w:snapToGrid w:val="0"/>
          <w:color w:val="auto"/>
        </w:rPr>
        <w:t>Embed the use of analytics driven next-level crime management through 2025.</w:t>
      </w:r>
    </w:p>
    <w:p w14:paraId="603416E1" w14:textId="77777777" w:rsidR="000A27AF" w:rsidRPr="00B76F59" w:rsidRDefault="000A27AF" w:rsidP="000A27AF">
      <w:pPr>
        <w:pStyle w:val="Default"/>
        <w:numPr>
          <w:ilvl w:val="0"/>
          <w:numId w:val="12"/>
        </w:numPr>
        <w:jc w:val="both"/>
        <w:rPr>
          <w:rFonts w:ascii="Arial" w:hAnsi="Arial" w:cs="Arial"/>
          <w:snapToGrid w:val="0"/>
          <w:color w:val="auto"/>
        </w:rPr>
      </w:pPr>
      <w:r w:rsidRPr="00B76F59">
        <w:rPr>
          <w:rFonts w:ascii="Arial" w:hAnsi="Arial" w:cs="Arial"/>
          <w:snapToGrid w:val="0"/>
          <w:color w:val="auto"/>
        </w:rPr>
        <w:t xml:space="preserve">Continue to increase our visibility to residents and respond robustly to public concerns. </w:t>
      </w:r>
    </w:p>
    <w:p w14:paraId="495EADEC" w14:textId="77777777" w:rsidR="000A27AF" w:rsidRPr="00B76F59" w:rsidRDefault="000A27AF" w:rsidP="000A27AF">
      <w:pPr>
        <w:pStyle w:val="Default"/>
        <w:numPr>
          <w:ilvl w:val="0"/>
          <w:numId w:val="12"/>
        </w:numPr>
        <w:jc w:val="both"/>
        <w:rPr>
          <w:rFonts w:ascii="Arial" w:hAnsi="Arial" w:cs="Arial"/>
          <w:snapToGrid w:val="0"/>
          <w:color w:val="auto"/>
        </w:rPr>
      </w:pPr>
      <w:r w:rsidRPr="00B76F59">
        <w:rPr>
          <w:rFonts w:ascii="Arial" w:hAnsi="Arial" w:cs="Arial"/>
          <w:snapToGrid w:val="0"/>
          <w:color w:val="auto"/>
        </w:rPr>
        <w:t xml:space="preserve">Set the foundations for further improvements in Year 3 with the goal of being in the top half for performance when compared with </w:t>
      </w:r>
      <w:r>
        <w:rPr>
          <w:rFonts w:ascii="Arial" w:hAnsi="Arial" w:cs="Arial"/>
          <w:snapToGrid w:val="0"/>
          <w:color w:val="auto"/>
        </w:rPr>
        <w:t>p</w:t>
      </w:r>
      <w:r w:rsidRPr="00B76F59">
        <w:rPr>
          <w:rFonts w:ascii="Arial" w:hAnsi="Arial" w:cs="Arial"/>
          <w:snapToGrid w:val="0"/>
          <w:color w:val="auto"/>
        </w:rPr>
        <w:t xml:space="preserve">olice </w:t>
      </w:r>
      <w:r>
        <w:rPr>
          <w:rFonts w:ascii="Arial" w:hAnsi="Arial" w:cs="Arial"/>
          <w:snapToGrid w:val="0"/>
          <w:color w:val="auto"/>
        </w:rPr>
        <w:t>f</w:t>
      </w:r>
      <w:r w:rsidRPr="00B76F59">
        <w:rPr>
          <w:rFonts w:ascii="Arial" w:hAnsi="Arial" w:cs="Arial"/>
          <w:snapToGrid w:val="0"/>
          <w:color w:val="auto"/>
        </w:rPr>
        <w:t>orces nationally.</w:t>
      </w:r>
    </w:p>
    <w:p w14:paraId="50431E0F" w14:textId="77777777" w:rsidR="000A27AF" w:rsidRPr="00B76F59" w:rsidRDefault="000A27AF" w:rsidP="000A27AF">
      <w:pPr>
        <w:pStyle w:val="Default"/>
        <w:ind w:left="1440"/>
        <w:jc w:val="both"/>
        <w:rPr>
          <w:rFonts w:ascii="Arial" w:hAnsi="Arial" w:cs="Arial"/>
          <w:snapToGrid w:val="0"/>
          <w:color w:val="auto"/>
        </w:rPr>
      </w:pPr>
    </w:p>
    <w:p w14:paraId="39E511CC" w14:textId="77777777" w:rsidR="000A27AF" w:rsidRPr="00B76F59" w:rsidRDefault="000A27AF" w:rsidP="000A27AF">
      <w:pPr>
        <w:pStyle w:val="Default"/>
        <w:numPr>
          <w:ilvl w:val="0"/>
          <w:numId w:val="2"/>
        </w:numPr>
        <w:jc w:val="both"/>
        <w:rPr>
          <w:rFonts w:ascii="Arial" w:hAnsi="Arial" w:cs="Arial"/>
          <w:snapToGrid w:val="0"/>
          <w:color w:val="auto"/>
        </w:rPr>
      </w:pPr>
      <w:r w:rsidRPr="00B76F59">
        <w:rPr>
          <w:rFonts w:ascii="Arial" w:hAnsi="Arial" w:cs="Arial"/>
          <w:snapToGrid w:val="0"/>
          <w:color w:val="auto"/>
        </w:rPr>
        <w:t>On 17</w:t>
      </w:r>
      <w:r w:rsidRPr="00B76F59">
        <w:rPr>
          <w:rFonts w:ascii="Arial" w:hAnsi="Arial" w:cs="Arial"/>
          <w:snapToGrid w:val="0"/>
          <w:color w:val="auto"/>
          <w:vertAlign w:val="superscript"/>
        </w:rPr>
        <w:t>th</w:t>
      </w:r>
      <w:r w:rsidRPr="00B76F59">
        <w:rPr>
          <w:rFonts w:ascii="Arial" w:hAnsi="Arial" w:cs="Arial"/>
          <w:snapToGrid w:val="0"/>
          <w:color w:val="auto"/>
        </w:rPr>
        <w:t xml:space="preserve"> December 2024, the Minister of State for Policing and Crime, Dame Diana Johnson, announced the Provisional Police Grant report for 2025/26. In it the Minister said:</w:t>
      </w:r>
    </w:p>
    <w:p w14:paraId="23E88B9D" w14:textId="77777777" w:rsidR="000A27AF" w:rsidRPr="00B76F59" w:rsidRDefault="000A27AF" w:rsidP="000A27AF">
      <w:pPr>
        <w:pStyle w:val="Default"/>
        <w:ind w:left="1080"/>
        <w:jc w:val="both"/>
        <w:rPr>
          <w:rFonts w:ascii="Arial" w:hAnsi="Arial" w:cs="Arial"/>
          <w:snapToGrid w:val="0"/>
          <w:color w:val="auto"/>
        </w:rPr>
      </w:pPr>
    </w:p>
    <w:p w14:paraId="2B40CAF9" w14:textId="77777777" w:rsidR="000A27AF" w:rsidRPr="00B76F59" w:rsidRDefault="000A27AF" w:rsidP="000A27AF">
      <w:pPr>
        <w:pStyle w:val="NormalWeb"/>
        <w:spacing w:before="200" w:beforeAutospacing="0" w:after="0" w:afterAutospacing="0"/>
        <w:ind w:left="720"/>
        <w:rPr>
          <w:rFonts w:ascii="Arial" w:hAnsi="Arial" w:cs="Arial"/>
        </w:rPr>
      </w:pPr>
      <w:r w:rsidRPr="0002474C">
        <w:rPr>
          <w:rFonts w:ascii="Arial" w:eastAsiaTheme="minorEastAsia" w:hAnsi="Arial" w:cs="Arial"/>
          <w:i/>
          <w:kern w:val="24"/>
          <w:lang w:val="en-US"/>
        </w:rPr>
        <w:t>“The provisional funding allocations set out in today’s report reflect this government’s commitment to working with policing and giving it the resources required to bridge the gap between policing and our communities. This is critical for restoring the public sense of safety on our streets.”</w:t>
      </w:r>
    </w:p>
    <w:p w14:paraId="6FB76A20" w14:textId="77777777" w:rsidR="000A27AF" w:rsidRPr="0002474C" w:rsidRDefault="000A27AF" w:rsidP="000A27AF">
      <w:pPr>
        <w:pStyle w:val="NormalWeb"/>
        <w:spacing w:before="200" w:beforeAutospacing="0" w:after="0" w:afterAutospacing="0"/>
        <w:ind w:left="720"/>
        <w:rPr>
          <w:rFonts w:ascii="Arial" w:eastAsiaTheme="minorEastAsia" w:hAnsi="Arial" w:cs="Arial"/>
          <w:i/>
          <w:kern w:val="24"/>
          <w:lang w:val="en-US"/>
        </w:rPr>
      </w:pPr>
      <w:r w:rsidRPr="0002474C">
        <w:rPr>
          <w:rFonts w:ascii="Arial" w:eastAsiaTheme="minorEastAsia" w:hAnsi="Arial" w:cs="Arial"/>
          <w:i/>
          <w:kern w:val="24"/>
          <w:lang w:val="en-US"/>
        </w:rPr>
        <w:t>“Finally, I must use this opportunity to pay tribute to and thank our committed officers and police staff for the remarkable dedication, courage and resilience they show every day to keep this country safe. This investment today is an investment in these brave men and women. We look forward to working with officers and police staff across the country on our shared ambition to make our streets safer.”</w:t>
      </w:r>
    </w:p>
    <w:p w14:paraId="6A6F4C40" w14:textId="77777777" w:rsidR="000A27AF" w:rsidRPr="0050145D" w:rsidRDefault="000A27AF" w:rsidP="000A27AF">
      <w:pPr>
        <w:pStyle w:val="Default"/>
        <w:ind w:left="360"/>
        <w:jc w:val="both"/>
        <w:rPr>
          <w:rFonts w:ascii="Arial" w:hAnsi="Arial" w:cs="Arial"/>
          <w:b/>
          <w:bCs/>
          <w:highlight w:val="yellow"/>
        </w:rPr>
      </w:pPr>
    </w:p>
    <w:p w14:paraId="4ACD328E" w14:textId="77777777" w:rsidR="000A27AF" w:rsidRPr="0050145D" w:rsidRDefault="000A27AF" w:rsidP="000A27AF">
      <w:pPr>
        <w:pStyle w:val="Default"/>
        <w:jc w:val="both"/>
        <w:rPr>
          <w:rFonts w:ascii="Arial" w:hAnsi="Arial" w:cs="Arial"/>
          <w:i/>
          <w:iCs/>
          <w:snapToGrid w:val="0"/>
          <w:color w:val="auto"/>
          <w:highlight w:val="yellow"/>
        </w:rPr>
      </w:pPr>
    </w:p>
    <w:p w14:paraId="3D193C5D" w14:textId="77777777" w:rsidR="000A27AF" w:rsidRPr="00B76F59" w:rsidRDefault="000A27AF" w:rsidP="000A27AF">
      <w:pPr>
        <w:pStyle w:val="Default"/>
        <w:numPr>
          <w:ilvl w:val="0"/>
          <w:numId w:val="2"/>
        </w:numPr>
        <w:jc w:val="both"/>
        <w:rPr>
          <w:rFonts w:ascii="Arial" w:hAnsi="Arial" w:cs="Arial"/>
          <w:snapToGrid w:val="0"/>
          <w:color w:val="auto"/>
        </w:rPr>
      </w:pPr>
      <w:r w:rsidRPr="00A44922">
        <w:rPr>
          <w:rFonts w:ascii="Arial" w:hAnsi="Arial" w:cs="Arial"/>
          <w:snapToGrid w:val="0"/>
          <w:color w:val="auto"/>
        </w:rPr>
        <w:t xml:space="preserve">The Government announced that funding to PCCs would increase by £986m to £17.4bn. </w:t>
      </w:r>
      <w:r w:rsidRPr="00B76F59">
        <w:rPr>
          <w:rFonts w:ascii="Arial" w:hAnsi="Arial" w:cs="Arial"/>
          <w:snapToGrid w:val="0"/>
          <w:color w:val="auto"/>
        </w:rPr>
        <w:t>The increase was made up of £341m in core grant (this includes £75m transferred from Uplift), £65m for the Met</w:t>
      </w:r>
      <w:r>
        <w:rPr>
          <w:rFonts w:ascii="Arial" w:hAnsi="Arial" w:cs="Arial"/>
          <w:snapToGrid w:val="0"/>
          <w:color w:val="auto"/>
        </w:rPr>
        <w:t xml:space="preserve">ropolitan </w:t>
      </w:r>
      <w:r w:rsidRPr="00B76F59">
        <w:rPr>
          <w:rFonts w:ascii="Arial" w:hAnsi="Arial" w:cs="Arial"/>
          <w:snapToGrid w:val="0"/>
          <w:color w:val="auto"/>
        </w:rPr>
        <w:t xml:space="preserve">and </w:t>
      </w:r>
      <w:r>
        <w:rPr>
          <w:rFonts w:ascii="Arial" w:hAnsi="Arial" w:cs="Arial"/>
          <w:snapToGrid w:val="0"/>
          <w:color w:val="auto"/>
        </w:rPr>
        <w:t xml:space="preserve">City of London Forces </w:t>
      </w:r>
      <w:r w:rsidRPr="00B76F59">
        <w:rPr>
          <w:rFonts w:ascii="Arial" w:hAnsi="Arial" w:cs="Arial"/>
          <w:snapToGrid w:val="0"/>
          <w:color w:val="auto"/>
        </w:rPr>
        <w:t xml:space="preserve">for national policing, £230m for National Insurance, £100m for Neighbourhood Policing, a reduction of £48m for Uplift (£75m has been transferred from Uplift to core grant) and £31m for pensions. </w:t>
      </w:r>
      <w:r>
        <w:rPr>
          <w:rFonts w:ascii="Arial" w:hAnsi="Arial" w:cs="Arial"/>
          <w:snapToGrid w:val="0"/>
          <w:color w:val="auto"/>
        </w:rPr>
        <w:t xml:space="preserve">It was also assumed that £330m of the additional funding would come from Council Tax if all PCCs increased their precept by the maximum £14 permitted without a referendum. </w:t>
      </w:r>
    </w:p>
    <w:p w14:paraId="0C2DA044" w14:textId="77777777" w:rsidR="000A27AF" w:rsidRPr="0050145D" w:rsidRDefault="000A27AF" w:rsidP="000A27AF">
      <w:pPr>
        <w:pStyle w:val="Default"/>
        <w:ind w:left="360"/>
        <w:jc w:val="both"/>
        <w:rPr>
          <w:rFonts w:ascii="Arial" w:hAnsi="Arial" w:cs="Arial"/>
          <w:snapToGrid w:val="0"/>
          <w:color w:val="auto"/>
          <w:highlight w:val="yellow"/>
        </w:rPr>
      </w:pPr>
    </w:p>
    <w:p w14:paraId="4D6A1A6F" w14:textId="77777777" w:rsidR="000A27AF" w:rsidRPr="00512A2D" w:rsidRDefault="000A27AF" w:rsidP="000A27AF">
      <w:pPr>
        <w:pStyle w:val="Default"/>
        <w:numPr>
          <w:ilvl w:val="0"/>
          <w:numId w:val="2"/>
        </w:numPr>
        <w:jc w:val="both"/>
        <w:rPr>
          <w:rFonts w:ascii="Arial" w:hAnsi="Arial" w:cs="Arial"/>
          <w:snapToGrid w:val="0"/>
          <w:color w:val="auto"/>
        </w:rPr>
      </w:pPr>
      <w:r w:rsidRPr="00512A2D">
        <w:rPr>
          <w:rFonts w:ascii="Arial" w:hAnsi="Arial" w:cs="Arial"/>
          <w:snapToGrid w:val="0"/>
          <w:color w:val="auto"/>
        </w:rPr>
        <w:t xml:space="preserve">The provisional settlement was confirmed on the </w:t>
      </w:r>
      <w:proofErr w:type="gramStart"/>
      <w:r w:rsidRPr="00512A2D">
        <w:rPr>
          <w:rFonts w:ascii="Arial" w:hAnsi="Arial" w:cs="Arial"/>
          <w:snapToGrid w:val="0"/>
          <w:color w:val="auto"/>
        </w:rPr>
        <w:t>31st</w:t>
      </w:r>
      <w:proofErr w:type="gramEnd"/>
      <w:r w:rsidRPr="00512A2D">
        <w:rPr>
          <w:rFonts w:ascii="Arial" w:hAnsi="Arial" w:cs="Arial"/>
          <w:snapToGrid w:val="0"/>
          <w:color w:val="auto"/>
        </w:rPr>
        <w:t xml:space="preserve"> January 2025 and the only change was the doubling of the Neighbourhood Policing grant from £100m to £200m. </w:t>
      </w:r>
    </w:p>
    <w:p w14:paraId="7A84E3F8" w14:textId="77777777" w:rsidR="000A27AF" w:rsidRDefault="000A27AF" w:rsidP="000A27AF">
      <w:pPr>
        <w:pStyle w:val="ListParagraph"/>
        <w:rPr>
          <w:rFonts w:ascii="Arial" w:hAnsi="Arial" w:cs="Arial"/>
          <w:snapToGrid w:val="0"/>
          <w:highlight w:val="yellow"/>
        </w:rPr>
      </w:pPr>
    </w:p>
    <w:p w14:paraId="572AA484" w14:textId="77777777" w:rsidR="000A27AF" w:rsidRPr="00440D0F"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440D0F">
        <w:rPr>
          <w:rFonts w:ascii="Arial" w:hAnsi="Arial" w:cs="Arial"/>
          <w:color w:val="000000"/>
          <w:sz w:val="24"/>
          <w:szCs w:val="24"/>
        </w:rPr>
        <w:t xml:space="preserve">The Chief Constable has made it clear in his meetings with the PCC that he supported the full increase in the precept of £14 </w:t>
      </w:r>
      <w:proofErr w:type="gramStart"/>
      <w:r w:rsidRPr="00440D0F">
        <w:rPr>
          <w:rFonts w:ascii="Arial" w:hAnsi="Arial" w:cs="Arial"/>
          <w:color w:val="000000"/>
          <w:sz w:val="24"/>
          <w:szCs w:val="24"/>
        </w:rPr>
        <w:t>in order to</w:t>
      </w:r>
      <w:proofErr w:type="gramEnd"/>
      <w:r w:rsidRPr="00440D0F">
        <w:rPr>
          <w:rFonts w:ascii="Arial" w:hAnsi="Arial" w:cs="Arial"/>
          <w:color w:val="000000"/>
          <w:sz w:val="24"/>
          <w:szCs w:val="24"/>
        </w:rPr>
        <w:t xml:space="preserve"> maintain the delivery of his operational improvements, as set out in “Our Plan”.</w:t>
      </w:r>
    </w:p>
    <w:p w14:paraId="19F64CDF" w14:textId="77777777" w:rsidR="000A27AF" w:rsidRPr="0050145D" w:rsidRDefault="000A27AF" w:rsidP="000A27AF">
      <w:pPr>
        <w:autoSpaceDE w:val="0"/>
        <w:autoSpaceDN w:val="0"/>
        <w:adjustRightInd w:val="0"/>
        <w:spacing w:after="0" w:line="240" w:lineRule="auto"/>
        <w:jc w:val="both"/>
        <w:rPr>
          <w:rFonts w:ascii="Arial" w:hAnsi="Arial" w:cs="Arial"/>
          <w:color w:val="000000"/>
          <w:sz w:val="24"/>
          <w:szCs w:val="24"/>
          <w:highlight w:val="yellow"/>
        </w:rPr>
      </w:pPr>
    </w:p>
    <w:p w14:paraId="18EFD697" w14:textId="77777777" w:rsidR="000A27AF" w:rsidRPr="00266978" w:rsidRDefault="000A27AF" w:rsidP="000A27AF">
      <w:pPr>
        <w:pStyle w:val="NoSpacing"/>
        <w:spacing w:before="120"/>
        <w:ind w:left="360"/>
        <w:jc w:val="both"/>
        <w:rPr>
          <w:rFonts w:ascii="Arial" w:hAnsi="Arial" w:cs="Arial"/>
          <w:b/>
          <w:color w:val="000000"/>
          <w:sz w:val="24"/>
          <w:szCs w:val="24"/>
        </w:rPr>
      </w:pPr>
      <w:r w:rsidRPr="00266978">
        <w:rPr>
          <w:rFonts w:ascii="Arial" w:hAnsi="Arial" w:cs="Arial"/>
          <w:b/>
          <w:color w:val="000000"/>
          <w:sz w:val="24"/>
          <w:szCs w:val="24"/>
        </w:rPr>
        <w:t>Overall Financial Picture and Four-Year Plan</w:t>
      </w:r>
    </w:p>
    <w:p w14:paraId="44080E96" w14:textId="77777777" w:rsidR="000A27AF" w:rsidRPr="00D46BCE" w:rsidRDefault="000A27AF" w:rsidP="000A27AF">
      <w:pPr>
        <w:pStyle w:val="NoSpacing"/>
        <w:numPr>
          <w:ilvl w:val="0"/>
          <w:numId w:val="2"/>
        </w:numPr>
        <w:spacing w:before="120"/>
        <w:jc w:val="both"/>
        <w:rPr>
          <w:rFonts w:ascii="Arial" w:hAnsi="Arial" w:cs="Arial"/>
          <w:color w:val="000000"/>
          <w:sz w:val="24"/>
          <w:szCs w:val="24"/>
        </w:rPr>
      </w:pPr>
      <w:r w:rsidRPr="00D46BCE">
        <w:rPr>
          <w:rFonts w:ascii="Arial" w:hAnsi="Arial" w:cs="Arial"/>
          <w:color w:val="000000"/>
          <w:sz w:val="24"/>
          <w:szCs w:val="24"/>
        </w:rPr>
        <w:t xml:space="preserve">The Medium-Term Financial Plan (MTFP) sets out the financial context for the revenue budget, capital programme and precept for the next financial year 2025/26 and estimates for a further three financial years. </w:t>
      </w:r>
    </w:p>
    <w:p w14:paraId="04245F05" w14:textId="77777777" w:rsidR="000A27AF" w:rsidRPr="00D46BCE" w:rsidRDefault="000A27AF" w:rsidP="000A27AF">
      <w:pPr>
        <w:pStyle w:val="NoSpacing"/>
        <w:numPr>
          <w:ilvl w:val="0"/>
          <w:numId w:val="2"/>
        </w:numPr>
        <w:spacing w:before="120"/>
        <w:jc w:val="both"/>
        <w:rPr>
          <w:rFonts w:ascii="Arial" w:hAnsi="Arial" w:cs="Arial"/>
          <w:color w:val="000000"/>
          <w:sz w:val="24"/>
          <w:szCs w:val="24"/>
        </w:rPr>
      </w:pPr>
      <w:r w:rsidRPr="00D46BCE">
        <w:rPr>
          <w:rFonts w:ascii="Arial" w:hAnsi="Arial" w:cs="Arial"/>
          <w:color w:val="000000"/>
          <w:sz w:val="24"/>
          <w:szCs w:val="24"/>
        </w:rPr>
        <w:t xml:space="preserve">It brings together all resources including grant, precept, fees and charges, income for special policing and use of reserves and capital. </w:t>
      </w:r>
    </w:p>
    <w:p w14:paraId="025E0415" w14:textId="77777777" w:rsidR="000A27AF" w:rsidRPr="00D46BCE" w:rsidRDefault="000A27AF" w:rsidP="000A27AF">
      <w:pPr>
        <w:pStyle w:val="NoSpacing"/>
        <w:numPr>
          <w:ilvl w:val="0"/>
          <w:numId w:val="2"/>
        </w:numPr>
        <w:spacing w:before="120"/>
        <w:jc w:val="both"/>
        <w:rPr>
          <w:rFonts w:ascii="Arial" w:hAnsi="Arial" w:cs="Arial"/>
          <w:color w:val="000000"/>
          <w:sz w:val="24"/>
          <w:szCs w:val="24"/>
        </w:rPr>
      </w:pPr>
      <w:r w:rsidRPr="00D46BCE">
        <w:rPr>
          <w:rFonts w:ascii="Arial" w:hAnsi="Arial" w:cs="Arial"/>
          <w:color w:val="000000"/>
          <w:sz w:val="24"/>
          <w:szCs w:val="24"/>
        </w:rPr>
        <w:t>This sets out that the plans are affordable over the four financial years. It also addresses risk. However, as the current Spending Review period ends this year there is a lot of uncertainty around future years.</w:t>
      </w:r>
    </w:p>
    <w:p w14:paraId="6BCF551F" w14:textId="77777777" w:rsidR="000A27AF" w:rsidRPr="00D46BCE" w:rsidRDefault="000A27AF" w:rsidP="000A27AF">
      <w:pPr>
        <w:pStyle w:val="NoSpacing"/>
        <w:numPr>
          <w:ilvl w:val="0"/>
          <w:numId w:val="2"/>
        </w:numPr>
        <w:spacing w:before="120"/>
        <w:jc w:val="both"/>
        <w:rPr>
          <w:rFonts w:ascii="Arial" w:hAnsi="Arial" w:cs="Arial"/>
          <w:color w:val="000000"/>
          <w:sz w:val="24"/>
          <w:szCs w:val="24"/>
        </w:rPr>
      </w:pPr>
      <w:r w:rsidRPr="00D46BCE">
        <w:rPr>
          <w:rFonts w:ascii="Arial" w:hAnsi="Arial" w:cs="Arial"/>
          <w:color w:val="000000"/>
          <w:sz w:val="24"/>
          <w:szCs w:val="24"/>
        </w:rPr>
        <w:t xml:space="preserve">Despite this the Financial Forecast has been prepared </w:t>
      </w:r>
      <w:proofErr w:type="gramStart"/>
      <w:r w:rsidRPr="00D46BCE">
        <w:rPr>
          <w:rFonts w:ascii="Arial" w:hAnsi="Arial" w:cs="Arial"/>
          <w:color w:val="000000"/>
          <w:sz w:val="24"/>
          <w:szCs w:val="24"/>
        </w:rPr>
        <w:t>on the basis of</w:t>
      </w:r>
      <w:proofErr w:type="gramEnd"/>
      <w:r w:rsidRPr="00D46BCE">
        <w:rPr>
          <w:rFonts w:ascii="Arial" w:hAnsi="Arial" w:cs="Arial"/>
          <w:color w:val="000000"/>
          <w:sz w:val="24"/>
          <w:szCs w:val="24"/>
        </w:rPr>
        <w:t xml:space="preserve"> a number of key assumptions. These are set in more detail in the Appendix </w:t>
      </w:r>
      <w:proofErr w:type="gramStart"/>
      <w:r w:rsidRPr="00D46BCE">
        <w:rPr>
          <w:rFonts w:ascii="Arial" w:hAnsi="Arial" w:cs="Arial"/>
          <w:color w:val="000000"/>
          <w:sz w:val="24"/>
          <w:szCs w:val="24"/>
        </w:rPr>
        <w:t>C</w:t>
      </w:r>
      <w:proofErr w:type="gramEnd"/>
      <w:r w:rsidRPr="00D46BCE">
        <w:rPr>
          <w:rFonts w:ascii="Arial" w:hAnsi="Arial" w:cs="Arial"/>
          <w:color w:val="000000"/>
          <w:sz w:val="24"/>
          <w:szCs w:val="24"/>
        </w:rPr>
        <w:t xml:space="preserve"> but the main ones are:</w:t>
      </w:r>
    </w:p>
    <w:p w14:paraId="0C0168A6" w14:textId="77777777" w:rsidR="000A27AF" w:rsidRPr="00347049" w:rsidRDefault="000A27AF" w:rsidP="000A27AF">
      <w:pPr>
        <w:pStyle w:val="NoSpacing"/>
        <w:numPr>
          <w:ilvl w:val="0"/>
          <w:numId w:val="6"/>
        </w:numPr>
        <w:spacing w:before="120"/>
        <w:jc w:val="both"/>
        <w:rPr>
          <w:rFonts w:ascii="Arial" w:hAnsi="Arial" w:cs="Arial"/>
          <w:color w:val="000000"/>
          <w:sz w:val="24"/>
          <w:szCs w:val="24"/>
        </w:rPr>
      </w:pPr>
      <w:r w:rsidRPr="00347049">
        <w:rPr>
          <w:rFonts w:ascii="Arial" w:hAnsi="Arial" w:cs="Arial"/>
          <w:color w:val="000000"/>
          <w:sz w:val="24"/>
          <w:szCs w:val="24"/>
        </w:rPr>
        <w:t>No increase in Government funding except for uplift.</w:t>
      </w:r>
    </w:p>
    <w:p w14:paraId="2D185F61" w14:textId="77777777" w:rsidR="000A27AF" w:rsidRPr="00347049" w:rsidRDefault="000A27AF" w:rsidP="000A27AF">
      <w:pPr>
        <w:pStyle w:val="NoSpacing"/>
        <w:numPr>
          <w:ilvl w:val="0"/>
          <w:numId w:val="6"/>
        </w:numPr>
        <w:spacing w:before="120"/>
        <w:jc w:val="both"/>
        <w:rPr>
          <w:rFonts w:ascii="Arial" w:hAnsi="Arial" w:cs="Arial"/>
          <w:color w:val="000000"/>
          <w:sz w:val="24"/>
          <w:szCs w:val="24"/>
        </w:rPr>
      </w:pPr>
      <w:r w:rsidRPr="00347049">
        <w:rPr>
          <w:rFonts w:ascii="Arial" w:hAnsi="Arial" w:cs="Arial"/>
          <w:color w:val="000000"/>
          <w:sz w:val="24"/>
          <w:szCs w:val="24"/>
        </w:rPr>
        <w:t>Council Tax rises set at £14 for 2025/26 and then capped at 1.99%</w:t>
      </w:r>
    </w:p>
    <w:p w14:paraId="1B0FD31F" w14:textId="77777777" w:rsidR="000A27AF" w:rsidRPr="00347049" w:rsidRDefault="000A27AF" w:rsidP="000A27AF">
      <w:pPr>
        <w:pStyle w:val="NoSpacing"/>
        <w:numPr>
          <w:ilvl w:val="0"/>
          <w:numId w:val="6"/>
        </w:numPr>
        <w:spacing w:before="120"/>
        <w:jc w:val="both"/>
        <w:rPr>
          <w:rFonts w:ascii="Arial" w:hAnsi="Arial" w:cs="Arial"/>
          <w:color w:val="000000"/>
          <w:sz w:val="24"/>
          <w:szCs w:val="24"/>
        </w:rPr>
      </w:pPr>
      <w:r w:rsidRPr="00347049">
        <w:rPr>
          <w:rFonts w:ascii="Arial" w:hAnsi="Arial" w:cs="Arial"/>
          <w:color w:val="000000"/>
          <w:sz w:val="24"/>
          <w:szCs w:val="24"/>
        </w:rPr>
        <w:t xml:space="preserve">Pay inflation at 2.0% for each year in expectation that any increase over this level will be funded by Government. </w:t>
      </w:r>
    </w:p>
    <w:p w14:paraId="49231FA8" w14:textId="77777777" w:rsidR="000A27AF" w:rsidRPr="00347049" w:rsidRDefault="000A27AF" w:rsidP="000A27AF">
      <w:pPr>
        <w:pStyle w:val="NoSpacing"/>
        <w:numPr>
          <w:ilvl w:val="0"/>
          <w:numId w:val="6"/>
        </w:numPr>
        <w:spacing w:before="120"/>
        <w:jc w:val="both"/>
        <w:rPr>
          <w:rFonts w:ascii="Arial" w:hAnsi="Arial" w:cs="Arial"/>
          <w:color w:val="000000"/>
          <w:sz w:val="24"/>
          <w:szCs w:val="24"/>
        </w:rPr>
      </w:pPr>
      <w:r w:rsidRPr="00347049">
        <w:rPr>
          <w:rFonts w:ascii="Arial" w:hAnsi="Arial" w:cs="Arial"/>
          <w:color w:val="000000"/>
          <w:sz w:val="24"/>
          <w:szCs w:val="24"/>
        </w:rPr>
        <w:t>General inflation at 2% for each year</w:t>
      </w:r>
    </w:p>
    <w:p w14:paraId="6382503D" w14:textId="77777777" w:rsidR="000A27AF" w:rsidRPr="00347049" w:rsidRDefault="000A27AF" w:rsidP="000A27AF">
      <w:pPr>
        <w:pStyle w:val="NoSpacing"/>
        <w:numPr>
          <w:ilvl w:val="0"/>
          <w:numId w:val="6"/>
        </w:numPr>
        <w:spacing w:before="120"/>
        <w:jc w:val="both"/>
        <w:rPr>
          <w:rFonts w:ascii="Arial" w:hAnsi="Arial" w:cs="Arial"/>
          <w:color w:val="000000"/>
          <w:sz w:val="24"/>
          <w:szCs w:val="24"/>
        </w:rPr>
      </w:pPr>
      <w:r w:rsidRPr="00347049">
        <w:rPr>
          <w:rFonts w:ascii="Arial" w:hAnsi="Arial" w:cs="Arial"/>
          <w:color w:val="000000"/>
          <w:sz w:val="24"/>
          <w:szCs w:val="24"/>
        </w:rPr>
        <w:t>No change in cost base i.e. no increase in headcount to meet changes in demand.</w:t>
      </w:r>
    </w:p>
    <w:p w14:paraId="194D16B2" w14:textId="77777777" w:rsidR="000A27AF" w:rsidRPr="001376A3" w:rsidRDefault="000A27AF" w:rsidP="000A27AF">
      <w:pPr>
        <w:pStyle w:val="NoSpacing"/>
        <w:numPr>
          <w:ilvl w:val="0"/>
          <w:numId w:val="2"/>
        </w:numPr>
        <w:spacing w:before="120"/>
        <w:jc w:val="both"/>
        <w:rPr>
          <w:rFonts w:ascii="Arial" w:hAnsi="Arial" w:cs="Arial"/>
          <w:b/>
          <w:color w:val="000000"/>
          <w:sz w:val="24"/>
          <w:szCs w:val="24"/>
        </w:rPr>
      </w:pPr>
      <w:r w:rsidRPr="001376A3">
        <w:rPr>
          <w:rFonts w:ascii="Arial" w:hAnsi="Arial" w:cs="Arial"/>
          <w:color w:val="000000"/>
          <w:sz w:val="24"/>
          <w:szCs w:val="24"/>
        </w:rPr>
        <w:t xml:space="preserve">The Financial Forecast (Appendix C) shows that there will be an ongoing need for future financial savings on top of those already achieved. Whilst the forecast itself predicts that these could be over £18m over the 4 years from 2025/26 the actual amount will depend on circumstances at the time. For example, if pay was to rise by 1% above the 2% allowed this would add a further £2.4m to costs, which may then have to covered by additional savings. That said there is little doubt that future savings will be required – it is only the quantum that is uncertain. </w:t>
      </w:r>
    </w:p>
    <w:p w14:paraId="3D6C58AC" w14:textId="77777777" w:rsidR="000A27AF" w:rsidRPr="001376A3" w:rsidRDefault="000A27AF" w:rsidP="000A27AF">
      <w:pPr>
        <w:pStyle w:val="NoSpacing"/>
        <w:spacing w:before="120"/>
        <w:ind w:left="360"/>
        <w:jc w:val="both"/>
        <w:rPr>
          <w:rFonts w:ascii="Arial" w:hAnsi="Arial" w:cs="Arial"/>
          <w:color w:val="000000"/>
          <w:sz w:val="24"/>
          <w:szCs w:val="24"/>
        </w:rPr>
      </w:pPr>
    </w:p>
    <w:p w14:paraId="00928632" w14:textId="77777777" w:rsidR="000A27AF" w:rsidRPr="00E36A72" w:rsidRDefault="000A27AF" w:rsidP="000A27AF">
      <w:pPr>
        <w:pStyle w:val="NoSpacing"/>
        <w:spacing w:before="120"/>
        <w:ind w:left="360"/>
        <w:jc w:val="both"/>
        <w:rPr>
          <w:rFonts w:ascii="Arial" w:hAnsi="Arial" w:cs="Arial"/>
          <w:b/>
          <w:color w:val="000000"/>
          <w:sz w:val="24"/>
          <w:szCs w:val="24"/>
        </w:rPr>
      </w:pPr>
      <w:r w:rsidRPr="00E36A72">
        <w:rPr>
          <w:rFonts w:ascii="Arial" w:hAnsi="Arial" w:cs="Arial"/>
          <w:b/>
          <w:color w:val="000000"/>
          <w:sz w:val="24"/>
          <w:szCs w:val="24"/>
        </w:rPr>
        <w:t>Police Financial Settlement 2025/26</w:t>
      </w:r>
    </w:p>
    <w:p w14:paraId="1032D920" w14:textId="77777777" w:rsidR="000A27AF" w:rsidRPr="00E36A72" w:rsidRDefault="000A27AF" w:rsidP="000A27AF">
      <w:pPr>
        <w:pStyle w:val="NoSpacing"/>
        <w:spacing w:before="120"/>
        <w:ind w:left="360"/>
        <w:jc w:val="both"/>
        <w:rPr>
          <w:rFonts w:ascii="Arial" w:hAnsi="Arial" w:cs="Arial"/>
          <w:color w:val="000000"/>
          <w:sz w:val="24"/>
          <w:szCs w:val="24"/>
        </w:rPr>
      </w:pPr>
    </w:p>
    <w:p w14:paraId="09C05382" w14:textId="77777777" w:rsidR="000A27AF" w:rsidRPr="00E36A72" w:rsidRDefault="000A27AF" w:rsidP="000A27AF">
      <w:pPr>
        <w:pStyle w:val="Default"/>
        <w:numPr>
          <w:ilvl w:val="0"/>
          <w:numId w:val="2"/>
        </w:numPr>
        <w:jc w:val="both"/>
        <w:rPr>
          <w:rFonts w:ascii="Arial" w:hAnsi="Arial" w:cs="Arial"/>
          <w:i/>
          <w:snapToGrid w:val="0"/>
        </w:rPr>
      </w:pPr>
      <w:r w:rsidRPr="00E36A72">
        <w:rPr>
          <w:rFonts w:ascii="Arial" w:hAnsi="Arial" w:cs="Arial"/>
          <w:snapToGrid w:val="0"/>
          <w:color w:val="auto"/>
        </w:rPr>
        <w:t xml:space="preserve">The Police financial settlement was announced on the </w:t>
      </w:r>
      <w:proofErr w:type="gramStart"/>
      <w:r w:rsidRPr="00E36A72">
        <w:rPr>
          <w:rFonts w:ascii="Arial" w:hAnsi="Arial" w:cs="Arial"/>
          <w:snapToGrid w:val="0"/>
          <w:color w:val="auto"/>
        </w:rPr>
        <w:t>17</w:t>
      </w:r>
      <w:r w:rsidRPr="00E36A72">
        <w:rPr>
          <w:rFonts w:ascii="Arial" w:hAnsi="Arial" w:cs="Arial"/>
          <w:snapToGrid w:val="0"/>
          <w:color w:val="auto"/>
          <w:vertAlign w:val="superscript"/>
        </w:rPr>
        <w:t>th</w:t>
      </w:r>
      <w:proofErr w:type="gramEnd"/>
      <w:r w:rsidRPr="00E36A72">
        <w:rPr>
          <w:rFonts w:ascii="Arial" w:hAnsi="Arial" w:cs="Arial"/>
          <w:snapToGrid w:val="0"/>
          <w:color w:val="auto"/>
        </w:rPr>
        <w:t xml:space="preserve"> December 2024 and was confirmed on the 31st January 2025. </w:t>
      </w:r>
    </w:p>
    <w:p w14:paraId="325047A8" w14:textId="77777777" w:rsidR="000A27AF" w:rsidRPr="00E36A72" w:rsidRDefault="000A27AF" w:rsidP="000A27AF">
      <w:pPr>
        <w:pStyle w:val="Default"/>
        <w:ind w:left="360"/>
        <w:jc w:val="both"/>
        <w:rPr>
          <w:rFonts w:ascii="Arial" w:hAnsi="Arial" w:cs="Arial"/>
          <w:i/>
          <w:snapToGrid w:val="0"/>
        </w:rPr>
      </w:pPr>
    </w:p>
    <w:p w14:paraId="4CD9B450" w14:textId="77777777" w:rsidR="000A27AF" w:rsidRPr="00E36A72" w:rsidRDefault="000A27AF" w:rsidP="000A27AF">
      <w:pPr>
        <w:pStyle w:val="Default"/>
        <w:numPr>
          <w:ilvl w:val="0"/>
          <w:numId w:val="2"/>
        </w:numPr>
        <w:jc w:val="both"/>
        <w:rPr>
          <w:rFonts w:ascii="Arial" w:hAnsi="Arial" w:cs="Arial"/>
          <w:snapToGrid w:val="0"/>
          <w:color w:val="auto"/>
        </w:rPr>
      </w:pPr>
      <w:r w:rsidRPr="00E36A72">
        <w:rPr>
          <w:rFonts w:ascii="Arial" w:hAnsi="Arial" w:cs="Arial"/>
          <w:snapToGrid w:val="0"/>
          <w:color w:val="auto"/>
        </w:rPr>
        <w:t xml:space="preserve">Nationally almost £1bn in additional funding of which roughly about 1/3 was from Council Tax, 1/3 for National Insurance and Neighbourhood, which are new costs, and 1/3 for core costs. Of the £341m given in core grants £75m has been transferred from Uplift and £175m is for the 2024/25 pay rise leaving £91m plus Council Tax to cover any pressures for 2025/26. </w:t>
      </w:r>
    </w:p>
    <w:p w14:paraId="56E72CB4" w14:textId="77777777" w:rsidR="000A27AF" w:rsidRPr="00E36A72" w:rsidRDefault="000A27AF" w:rsidP="000A27AF">
      <w:pPr>
        <w:pStyle w:val="ListParagraph"/>
        <w:rPr>
          <w:rFonts w:ascii="Arial" w:hAnsi="Arial" w:cs="Arial"/>
          <w:snapToGrid w:val="0"/>
        </w:rPr>
      </w:pPr>
    </w:p>
    <w:p w14:paraId="7DAACA0E" w14:textId="77777777" w:rsidR="000A27AF" w:rsidRPr="0050145D" w:rsidRDefault="000A27AF" w:rsidP="000A27AF">
      <w:pPr>
        <w:pStyle w:val="Default"/>
        <w:ind w:left="720"/>
        <w:jc w:val="both"/>
        <w:rPr>
          <w:rFonts w:ascii="Arial" w:hAnsi="Arial" w:cs="Arial"/>
          <w:snapToGrid w:val="0"/>
          <w:color w:val="auto"/>
          <w:highlight w:val="yellow"/>
        </w:rPr>
      </w:pPr>
    </w:p>
    <w:p w14:paraId="1C168508" w14:textId="77777777" w:rsidR="000A27AF" w:rsidRPr="007061E1" w:rsidRDefault="000A27AF" w:rsidP="000A27AF">
      <w:pPr>
        <w:pStyle w:val="Default"/>
        <w:numPr>
          <w:ilvl w:val="0"/>
          <w:numId w:val="2"/>
        </w:numPr>
        <w:jc w:val="both"/>
        <w:rPr>
          <w:rFonts w:ascii="Arial" w:hAnsi="Arial" w:cs="Arial"/>
          <w:snapToGrid w:val="0"/>
          <w:color w:val="auto"/>
        </w:rPr>
      </w:pPr>
      <w:r w:rsidRPr="007061E1">
        <w:rPr>
          <w:rFonts w:ascii="Arial" w:hAnsi="Arial" w:cs="Arial"/>
          <w:snapToGrid w:val="0"/>
          <w:color w:val="auto"/>
        </w:rPr>
        <w:t>For Surrey the actual settlement is shown in the table below:</w:t>
      </w:r>
    </w:p>
    <w:p w14:paraId="26FA46D2" w14:textId="77777777" w:rsidR="000A27AF" w:rsidRPr="007061E1" w:rsidRDefault="000A27AF" w:rsidP="000A27AF">
      <w:pPr>
        <w:pStyle w:val="Default"/>
        <w:ind w:left="360"/>
        <w:jc w:val="both"/>
        <w:rPr>
          <w:rFonts w:ascii="Arial" w:hAnsi="Arial" w:cs="Arial"/>
          <w:snapToGrid w:val="0"/>
          <w:color w:val="auto"/>
        </w:rPr>
      </w:pPr>
    </w:p>
    <w:tbl>
      <w:tblPr>
        <w:tblStyle w:val="TableGrid"/>
        <w:tblW w:w="0" w:type="auto"/>
        <w:jc w:val="center"/>
        <w:tblInd w:w="0" w:type="dxa"/>
        <w:tblLook w:val="04A0" w:firstRow="1" w:lastRow="0" w:firstColumn="1" w:lastColumn="0" w:noHBand="0" w:noVBand="1"/>
      </w:tblPr>
      <w:tblGrid>
        <w:gridCol w:w="3823"/>
        <w:gridCol w:w="2551"/>
        <w:gridCol w:w="2642"/>
      </w:tblGrid>
      <w:tr w:rsidR="000A27AF" w:rsidRPr="007061E1" w14:paraId="2FE19082" w14:textId="77777777" w:rsidTr="00BD14BB">
        <w:trPr>
          <w:trHeight w:val="842"/>
          <w:jc w:val="center"/>
        </w:trPr>
        <w:tc>
          <w:tcPr>
            <w:tcW w:w="3823" w:type="dxa"/>
          </w:tcPr>
          <w:p w14:paraId="6A7BA1A1" w14:textId="77777777" w:rsidR="000A27AF" w:rsidRPr="007061E1" w:rsidRDefault="000A27AF" w:rsidP="00BD14BB">
            <w:pPr>
              <w:pStyle w:val="NoSpacing"/>
              <w:spacing w:before="120"/>
              <w:jc w:val="center"/>
              <w:rPr>
                <w:rFonts w:ascii="Arial" w:hAnsi="Arial" w:cs="Arial"/>
                <w:b/>
                <w:bCs/>
                <w:snapToGrid w:val="0"/>
                <w:sz w:val="24"/>
                <w:szCs w:val="24"/>
              </w:rPr>
            </w:pPr>
            <w:r w:rsidRPr="007061E1">
              <w:rPr>
                <w:rFonts w:ascii="Arial" w:hAnsi="Arial" w:cs="Arial"/>
                <w:b/>
                <w:bCs/>
                <w:snapToGrid w:val="0"/>
                <w:sz w:val="24"/>
                <w:szCs w:val="24"/>
              </w:rPr>
              <w:t>Funding</w:t>
            </w:r>
          </w:p>
        </w:tc>
        <w:tc>
          <w:tcPr>
            <w:tcW w:w="2551" w:type="dxa"/>
          </w:tcPr>
          <w:p w14:paraId="23F4984C" w14:textId="77777777" w:rsidR="000A27AF" w:rsidRPr="007061E1" w:rsidRDefault="000A27AF" w:rsidP="00BD14BB">
            <w:pPr>
              <w:pStyle w:val="NoSpacing"/>
              <w:spacing w:before="120"/>
              <w:jc w:val="center"/>
              <w:rPr>
                <w:rFonts w:ascii="Arial" w:hAnsi="Arial" w:cs="Arial"/>
                <w:b/>
                <w:bCs/>
                <w:snapToGrid w:val="0"/>
                <w:sz w:val="24"/>
                <w:szCs w:val="24"/>
              </w:rPr>
            </w:pPr>
            <w:r w:rsidRPr="007061E1">
              <w:rPr>
                <w:rFonts w:ascii="Arial" w:hAnsi="Arial" w:cs="Arial"/>
                <w:b/>
                <w:bCs/>
                <w:snapToGrid w:val="0"/>
                <w:sz w:val="24"/>
                <w:szCs w:val="24"/>
              </w:rPr>
              <w:t>2024/25 - Final</w:t>
            </w:r>
          </w:p>
          <w:p w14:paraId="79836A48" w14:textId="77777777" w:rsidR="000A27AF" w:rsidRPr="007061E1" w:rsidRDefault="000A27AF" w:rsidP="00BD14BB">
            <w:pPr>
              <w:pStyle w:val="NoSpacing"/>
              <w:spacing w:before="120"/>
              <w:jc w:val="center"/>
              <w:rPr>
                <w:rFonts w:ascii="Arial" w:hAnsi="Arial" w:cs="Arial"/>
                <w:b/>
                <w:bCs/>
                <w:snapToGrid w:val="0"/>
                <w:sz w:val="24"/>
                <w:szCs w:val="24"/>
              </w:rPr>
            </w:pPr>
            <w:r w:rsidRPr="007061E1">
              <w:rPr>
                <w:rFonts w:ascii="Arial" w:hAnsi="Arial" w:cs="Arial"/>
                <w:b/>
                <w:bCs/>
                <w:snapToGrid w:val="0"/>
                <w:sz w:val="24"/>
                <w:szCs w:val="24"/>
              </w:rPr>
              <w:t>£m</w:t>
            </w:r>
          </w:p>
        </w:tc>
        <w:tc>
          <w:tcPr>
            <w:tcW w:w="2642" w:type="dxa"/>
          </w:tcPr>
          <w:p w14:paraId="419141B8" w14:textId="77777777" w:rsidR="000A27AF" w:rsidRPr="007061E1" w:rsidRDefault="000A27AF" w:rsidP="00BD14BB">
            <w:pPr>
              <w:pStyle w:val="NoSpacing"/>
              <w:spacing w:before="120"/>
              <w:jc w:val="center"/>
              <w:rPr>
                <w:rFonts w:ascii="Arial" w:hAnsi="Arial" w:cs="Arial"/>
                <w:b/>
                <w:bCs/>
                <w:snapToGrid w:val="0"/>
                <w:sz w:val="24"/>
                <w:szCs w:val="24"/>
              </w:rPr>
            </w:pPr>
            <w:r w:rsidRPr="007061E1">
              <w:rPr>
                <w:rFonts w:ascii="Arial" w:hAnsi="Arial" w:cs="Arial"/>
                <w:b/>
                <w:bCs/>
                <w:snapToGrid w:val="0"/>
                <w:sz w:val="24"/>
                <w:szCs w:val="24"/>
              </w:rPr>
              <w:t>2025/26 – Final</w:t>
            </w:r>
          </w:p>
          <w:p w14:paraId="7C930988" w14:textId="77777777" w:rsidR="000A27AF" w:rsidRPr="007061E1" w:rsidRDefault="000A27AF" w:rsidP="00BD14BB">
            <w:pPr>
              <w:pStyle w:val="NoSpacing"/>
              <w:spacing w:before="120"/>
              <w:jc w:val="center"/>
              <w:rPr>
                <w:rFonts w:ascii="Arial" w:hAnsi="Arial" w:cs="Arial"/>
                <w:b/>
                <w:bCs/>
                <w:snapToGrid w:val="0"/>
                <w:sz w:val="24"/>
                <w:szCs w:val="24"/>
              </w:rPr>
            </w:pPr>
            <w:r w:rsidRPr="007061E1">
              <w:rPr>
                <w:rFonts w:ascii="Arial" w:hAnsi="Arial" w:cs="Arial"/>
                <w:b/>
                <w:bCs/>
                <w:snapToGrid w:val="0"/>
                <w:sz w:val="24"/>
                <w:szCs w:val="24"/>
              </w:rPr>
              <w:t>£m</w:t>
            </w:r>
          </w:p>
        </w:tc>
      </w:tr>
      <w:tr w:rsidR="000A27AF" w:rsidRPr="007061E1" w14:paraId="1FC3A9F2" w14:textId="77777777" w:rsidTr="00BD14BB">
        <w:trPr>
          <w:jc w:val="center"/>
        </w:trPr>
        <w:tc>
          <w:tcPr>
            <w:tcW w:w="3823" w:type="dxa"/>
          </w:tcPr>
          <w:p w14:paraId="7B71867E" w14:textId="77777777" w:rsidR="000A27AF" w:rsidRPr="007061E1" w:rsidRDefault="000A27AF" w:rsidP="00BD14BB">
            <w:pPr>
              <w:pStyle w:val="NoSpacing"/>
              <w:spacing w:before="120"/>
              <w:rPr>
                <w:rFonts w:ascii="Arial" w:hAnsi="Arial" w:cs="Arial"/>
                <w:snapToGrid w:val="0"/>
                <w:sz w:val="24"/>
                <w:szCs w:val="24"/>
              </w:rPr>
            </w:pPr>
            <w:r w:rsidRPr="007061E1">
              <w:rPr>
                <w:rFonts w:ascii="Arial" w:hAnsi="Arial" w:cs="Arial"/>
                <w:snapToGrid w:val="0"/>
                <w:sz w:val="24"/>
                <w:szCs w:val="24"/>
              </w:rPr>
              <w:t>Principal Funding</w:t>
            </w:r>
          </w:p>
        </w:tc>
        <w:tc>
          <w:tcPr>
            <w:tcW w:w="2551" w:type="dxa"/>
          </w:tcPr>
          <w:p w14:paraId="4D41839D" w14:textId="77777777" w:rsidR="000A27AF" w:rsidRPr="007061E1" w:rsidRDefault="000A27AF" w:rsidP="00BD14BB">
            <w:pPr>
              <w:pStyle w:val="NoSpacing"/>
              <w:spacing w:before="120"/>
              <w:jc w:val="center"/>
              <w:rPr>
                <w:rFonts w:ascii="Arial" w:hAnsi="Arial" w:cs="Arial"/>
                <w:snapToGrid w:val="0"/>
                <w:sz w:val="24"/>
                <w:szCs w:val="24"/>
              </w:rPr>
            </w:pPr>
            <w:r w:rsidRPr="007061E1">
              <w:rPr>
                <w:rFonts w:ascii="Arial" w:hAnsi="Arial" w:cs="Arial"/>
                <w:snapToGrid w:val="0"/>
                <w:sz w:val="24"/>
                <w:szCs w:val="24"/>
              </w:rPr>
              <w:t>82.8</w:t>
            </w:r>
          </w:p>
        </w:tc>
        <w:tc>
          <w:tcPr>
            <w:tcW w:w="2642" w:type="dxa"/>
          </w:tcPr>
          <w:p w14:paraId="6562F0FB" w14:textId="77777777" w:rsidR="000A27AF" w:rsidRPr="007061E1" w:rsidRDefault="000A27AF" w:rsidP="00BD14BB">
            <w:pPr>
              <w:pStyle w:val="NoSpacing"/>
              <w:spacing w:before="120"/>
              <w:jc w:val="center"/>
              <w:rPr>
                <w:rFonts w:ascii="Arial" w:hAnsi="Arial" w:cs="Arial"/>
                <w:snapToGrid w:val="0"/>
                <w:sz w:val="24"/>
                <w:szCs w:val="24"/>
              </w:rPr>
            </w:pPr>
            <w:r w:rsidRPr="007061E1">
              <w:rPr>
                <w:rFonts w:ascii="Arial" w:hAnsi="Arial" w:cs="Arial"/>
                <w:snapToGrid w:val="0"/>
                <w:sz w:val="24"/>
                <w:szCs w:val="24"/>
              </w:rPr>
              <w:t>85.8</w:t>
            </w:r>
          </w:p>
        </w:tc>
      </w:tr>
      <w:tr w:rsidR="000A27AF" w:rsidRPr="007061E1" w14:paraId="3D83E3FD" w14:textId="77777777" w:rsidTr="00BD14BB">
        <w:trPr>
          <w:jc w:val="center"/>
        </w:trPr>
        <w:tc>
          <w:tcPr>
            <w:tcW w:w="3823" w:type="dxa"/>
          </w:tcPr>
          <w:p w14:paraId="305B7DCF" w14:textId="77777777" w:rsidR="000A27AF" w:rsidRPr="007061E1" w:rsidRDefault="000A27AF" w:rsidP="00BD14BB">
            <w:pPr>
              <w:pStyle w:val="NoSpacing"/>
              <w:spacing w:before="120"/>
              <w:rPr>
                <w:rFonts w:ascii="Arial" w:hAnsi="Arial" w:cs="Arial"/>
                <w:snapToGrid w:val="0"/>
                <w:sz w:val="24"/>
                <w:szCs w:val="24"/>
              </w:rPr>
            </w:pPr>
            <w:r w:rsidRPr="007061E1">
              <w:rPr>
                <w:rFonts w:ascii="Arial" w:hAnsi="Arial" w:cs="Arial"/>
                <w:snapToGrid w:val="0"/>
                <w:sz w:val="24"/>
                <w:szCs w:val="24"/>
              </w:rPr>
              <w:t>Revenue Support Grant</w:t>
            </w:r>
          </w:p>
        </w:tc>
        <w:tc>
          <w:tcPr>
            <w:tcW w:w="2551" w:type="dxa"/>
          </w:tcPr>
          <w:p w14:paraId="40F64052" w14:textId="77777777" w:rsidR="000A27AF" w:rsidRPr="007061E1" w:rsidRDefault="000A27AF" w:rsidP="00BD14BB">
            <w:pPr>
              <w:pStyle w:val="NoSpacing"/>
              <w:spacing w:before="120"/>
              <w:jc w:val="center"/>
              <w:rPr>
                <w:rFonts w:ascii="Arial" w:hAnsi="Arial" w:cs="Arial"/>
                <w:snapToGrid w:val="0"/>
                <w:sz w:val="24"/>
                <w:szCs w:val="24"/>
              </w:rPr>
            </w:pPr>
            <w:r w:rsidRPr="007061E1">
              <w:rPr>
                <w:rFonts w:ascii="Arial" w:hAnsi="Arial" w:cs="Arial"/>
                <w:snapToGrid w:val="0"/>
                <w:sz w:val="24"/>
                <w:szCs w:val="24"/>
              </w:rPr>
              <w:t>35.8</w:t>
            </w:r>
          </w:p>
        </w:tc>
        <w:tc>
          <w:tcPr>
            <w:tcW w:w="2642" w:type="dxa"/>
          </w:tcPr>
          <w:p w14:paraId="420E66A0" w14:textId="77777777" w:rsidR="000A27AF" w:rsidRPr="007061E1" w:rsidRDefault="000A27AF" w:rsidP="00BD14BB">
            <w:pPr>
              <w:pStyle w:val="NoSpacing"/>
              <w:spacing w:before="120"/>
              <w:jc w:val="center"/>
              <w:rPr>
                <w:rFonts w:ascii="Arial" w:hAnsi="Arial" w:cs="Arial"/>
                <w:snapToGrid w:val="0"/>
                <w:sz w:val="24"/>
                <w:szCs w:val="24"/>
              </w:rPr>
            </w:pPr>
            <w:r w:rsidRPr="007061E1">
              <w:rPr>
                <w:rFonts w:ascii="Arial" w:hAnsi="Arial" w:cs="Arial"/>
                <w:snapToGrid w:val="0"/>
                <w:sz w:val="24"/>
                <w:szCs w:val="24"/>
              </w:rPr>
              <w:t>37.1</w:t>
            </w:r>
          </w:p>
        </w:tc>
      </w:tr>
      <w:tr w:rsidR="000A27AF" w:rsidRPr="007061E1" w14:paraId="7E40E14F" w14:textId="77777777" w:rsidTr="00BD14BB">
        <w:trPr>
          <w:jc w:val="center"/>
        </w:trPr>
        <w:tc>
          <w:tcPr>
            <w:tcW w:w="3823" w:type="dxa"/>
          </w:tcPr>
          <w:p w14:paraId="07CE2EEA" w14:textId="77777777" w:rsidR="000A27AF" w:rsidRPr="007061E1" w:rsidRDefault="000A27AF" w:rsidP="00BD14BB">
            <w:pPr>
              <w:pStyle w:val="NoSpacing"/>
              <w:spacing w:before="120"/>
              <w:rPr>
                <w:rFonts w:ascii="Arial" w:hAnsi="Arial" w:cs="Arial"/>
                <w:snapToGrid w:val="0"/>
                <w:sz w:val="24"/>
                <w:szCs w:val="24"/>
              </w:rPr>
            </w:pPr>
            <w:r w:rsidRPr="007061E1">
              <w:rPr>
                <w:rFonts w:ascii="Arial" w:hAnsi="Arial" w:cs="Arial"/>
                <w:snapToGrid w:val="0"/>
                <w:sz w:val="24"/>
                <w:szCs w:val="24"/>
              </w:rPr>
              <w:t>Legacy Council Tax Grants</w:t>
            </w:r>
          </w:p>
        </w:tc>
        <w:tc>
          <w:tcPr>
            <w:tcW w:w="2551" w:type="dxa"/>
          </w:tcPr>
          <w:p w14:paraId="0BEA7DDC" w14:textId="77777777" w:rsidR="000A27AF" w:rsidRPr="007061E1" w:rsidRDefault="000A27AF" w:rsidP="00BD14BB">
            <w:pPr>
              <w:pStyle w:val="NoSpacing"/>
              <w:spacing w:before="120"/>
              <w:jc w:val="center"/>
              <w:rPr>
                <w:rFonts w:ascii="Arial" w:hAnsi="Arial" w:cs="Arial"/>
                <w:snapToGrid w:val="0"/>
                <w:sz w:val="24"/>
                <w:szCs w:val="24"/>
              </w:rPr>
            </w:pPr>
            <w:r w:rsidRPr="007061E1">
              <w:rPr>
                <w:rFonts w:ascii="Arial" w:hAnsi="Arial" w:cs="Arial"/>
                <w:snapToGrid w:val="0"/>
                <w:sz w:val="24"/>
                <w:szCs w:val="24"/>
              </w:rPr>
              <w:t>9.2</w:t>
            </w:r>
          </w:p>
        </w:tc>
        <w:tc>
          <w:tcPr>
            <w:tcW w:w="2642" w:type="dxa"/>
          </w:tcPr>
          <w:p w14:paraId="3DEB12E6" w14:textId="77777777" w:rsidR="000A27AF" w:rsidRPr="007061E1" w:rsidRDefault="000A27AF" w:rsidP="00BD14BB">
            <w:pPr>
              <w:pStyle w:val="NoSpacing"/>
              <w:spacing w:before="120"/>
              <w:jc w:val="center"/>
              <w:rPr>
                <w:rFonts w:ascii="Arial" w:hAnsi="Arial" w:cs="Arial"/>
                <w:snapToGrid w:val="0"/>
                <w:sz w:val="24"/>
                <w:szCs w:val="24"/>
              </w:rPr>
            </w:pPr>
            <w:r w:rsidRPr="007061E1">
              <w:rPr>
                <w:rFonts w:ascii="Arial" w:hAnsi="Arial" w:cs="Arial"/>
                <w:snapToGrid w:val="0"/>
                <w:sz w:val="24"/>
                <w:szCs w:val="24"/>
              </w:rPr>
              <w:t>9.2</w:t>
            </w:r>
          </w:p>
        </w:tc>
      </w:tr>
      <w:tr w:rsidR="000A27AF" w:rsidRPr="007061E1" w14:paraId="5C95EF32" w14:textId="77777777" w:rsidTr="00BD14BB">
        <w:trPr>
          <w:jc w:val="center"/>
        </w:trPr>
        <w:tc>
          <w:tcPr>
            <w:tcW w:w="3823" w:type="dxa"/>
          </w:tcPr>
          <w:p w14:paraId="1A109926" w14:textId="77777777" w:rsidR="000A27AF" w:rsidRPr="007061E1" w:rsidRDefault="000A27AF" w:rsidP="00BD14BB">
            <w:pPr>
              <w:pStyle w:val="NoSpacing"/>
              <w:spacing w:before="120"/>
              <w:rPr>
                <w:rFonts w:ascii="Arial" w:hAnsi="Arial" w:cs="Arial"/>
                <w:snapToGrid w:val="0"/>
                <w:sz w:val="24"/>
                <w:szCs w:val="24"/>
              </w:rPr>
            </w:pPr>
            <w:r w:rsidRPr="007061E1">
              <w:rPr>
                <w:rFonts w:ascii="Arial" w:hAnsi="Arial" w:cs="Arial"/>
                <w:snapToGrid w:val="0"/>
                <w:sz w:val="24"/>
                <w:szCs w:val="24"/>
              </w:rPr>
              <w:t>Operation Uplift</w:t>
            </w:r>
          </w:p>
        </w:tc>
        <w:tc>
          <w:tcPr>
            <w:tcW w:w="2551" w:type="dxa"/>
          </w:tcPr>
          <w:p w14:paraId="09D00D9E" w14:textId="77777777" w:rsidR="000A27AF" w:rsidRPr="007061E1" w:rsidRDefault="000A27AF" w:rsidP="00BD14BB">
            <w:pPr>
              <w:pStyle w:val="NoSpacing"/>
              <w:spacing w:before="120"/>
              <w:jc w:val="center"/>
              <w:rPr>
                <w:rFonts w:ascii="Arial" w:hAnsi="Arial" w:cs="Arial"/>
                <w:snapToGrid w:val="0"/>
                <w:sz w:val="24"/>
                <w:szCs w:val="24"/>
              </w:rPr>
            </w:pPr>
            <w:r w:rsidRPr="007061E1">
              <w:rPr>
                <w:rFonts w:ascii="Arial" w:hAnsi="Arial" w:cs="Arial"/>
                <w:snapToGrid w:val="0"/>
                <w:sz w:val="24"/>
                <w:szCs w:val="24"/>
              </w:rPr>
              <w:t>6.0</w:t>
            </w:r>
          </w:p>
        </w:tc>
        <w:tc>
          <w:tcPr>
            <w:tcW w:w="2642" w:type="dxa"/>
          </w:tcPr>
          <w:p w14:paraId="0DA70C77" w14:textId="77777777" w:rsidR="000A27AF" w:rsidRPr="007061E1" w:rsidRDefault="000A27AF" w:rsidP="00BD14BB">
            <w:pPr>
              <w:pStyle w:val="NoSpacing"/>
              <w:spacing w:before="120"/>
              <w:jc w:val="center"/>
              <w:rPr>
                <w:rFonts w:ascii="Arial" w:hAnsi="Arial" w:cs="Arial"/>
                <w:snapToGrid w:val="0"/>
                <w:sz w:val="24"/>
                <w:szCs w:val="24"/>
              </w:rPr>
            </w:pPr>
            <w:r w:rsidRPr="007061E1">
              <w:rPr>
                <w:rFonts w:ascii="Arial" w:hAnsi="Arial" w:cs="Arial"/>
                <w:snapToGrid w:val="0"/>
                <w:sz w:val="24"/>
                <w:szCs w:val="24"/>
              </w:rPr>
              <w:t>5.7</w:t>
            </w:r>
          </w:p>
        </w:tc>
      </w:tr>
      <w:tr w:rsidR="000A27AF" w:rsidRPr="007061E1" w14:paraId="0ED18100" w14:textId="77777777" w:rsidTr="00BD14BB">
        <w:trPr>
          <w:jc w:val="center"/>
        </w:trPr>
        <w:tc>
          <w:tcPr>
            <w:tcW w:w="3823" w:type="dxa"/>
          </w:tcPr>
          <w:p w14:paraId="7F063351" w14:textId="77777777" w:rsidR="000A27AF" w:rsidRPr="007061E1" w:rsidRDefault="000A27AF" w:rsidP="00BD14BB">
            <w:pPr>
              <w:pStyle w:val="NoSpacing"/>
              <w:spacing w:before="120"/>
              <w:rPr>
                <w:rFonts w:ascii="Arial" w:hAnsi="Arial" w:cs="Arial"/>
                <w:snapToGrid w:val="0"/>
                <w:sz w:val="24"/>
                <w:szCs w:val="24"/>
              </w:rPr>
            </w:pPr>
            <w:r w:rsidRPr="007061E1">
              <w:rPr>
                <w:rFonts w:ascii="Arial" w:hAnsi="Arial" w:cs="Arial"/>
                <w:snapToGrid w:val="0"/>
                <w:sz w:val="24"/>
                <w:szCs w:val="24"/>
              </w:rPr>
              <w:t>Pension Grants</w:t>
            </w:r>
          </w:p>
        </w:tc>
        <w:tc>
          <w:tcPr>
            <w:tcW w:w="2551" w:type="dxa"/>
          </w:tcPr>
          <w:p w14:paraId="2BEBA8AE" w14:textId="77777777" w:rsidR="000A27AF" w:rsidRPr="007061E1" w:rsidRDefault="000A27AF" w:rsidP="00BD14BB">
            <w:pPr>
              <w:pStyle w:val="NoSpacing"/>
              <w:spacing w:before="120"/>
              <w:jc w:val="center"/>
              <w:rPr>
                <w:rFonts w:ascii="Arial" w:hAnsi="Arial" w:cs="Arial"/>
                <w:snapToGrid w:val="0"/>
                <w:sz w:val="24"/>
                <w:szCs w:val="24"/>
              </w:rPr>
            </w:pPr>
            <w:r w:rsidRPr="007061E1">
              <w:rPr>
                <w:rFonts w:ascii="Arial" w:hAnsi="Arial" w:cs="Arial"/>
                <w:snapToGrid w:val="0"/>
                <w:sz w:val="24"/>
                <w:szCs w:val="24"/>
              </w:rPr>
              <w:t>6.5</w:t>
            </w:r>
          </w:p>
        </w:tc>
        <w:tc>
          <w:tcPr>
            <w:tcW w:w="2642" w:type="dxa"/>
          </w:tcPr>
          <w:p w14:paraId="0AB2F79A" w14:textId="77777777" w:rsidR="000A27AF" w:rsidRPr="007061E1" w:rsidRDefault="000A27AF" w:rsidP="00BD14BB">
            <w:pPr>
              <w:pStyle w:val="NoSpacing"/>
              <w:spacing w:before="120"/>
              <w:jc w:val="center"/>
              <w:rPr>
                <w:rFonts w:ascii="Arial" w:hAnsi="Arial" w:cs="Arial"/>
                <w:snapToGrid w:val="0"/>
                <w:sz w:val="24"/>
                <w:szCs w:val="24"/>
              </w:rPr>
            </w:pPr>
            <w:r w:rsidRPr="007061E1">
              <w:rPr>
                <w:rFonts w:ascii="Arial" w:hAnsi="Arial" w:cs="Arial"/>
                <w:snapToGrid w:val="0"/>
                <w:sz w:val="24"/>
                <w:szCs w:val="24"/>
              </w:rPr>
              <w:t>6.1</w:t>
            </w:r>
          </w:p>
        </w:tc>
      </w:tr>
      <w:tr w:rsidR="000A27AF" w:rsidRPr="007061E1" w14:paraId="2A6940DC" w14:textId="77777777" w:rsidTr="00BD14BB">
        <w:trPr>
          <w:jc w:val="center"/>
        </w:trPr>
        <w:tc>
          <w:tcPr>
            <w:tcW w:w="3823" w:type="dxa"/>
          </w:tcPr>
          <w:p w14:paraId="164E9D5E" w14:textId="77777777" w:rsidR="000A27AF" w:rsidRPr="007061E1" w:rsidRDefault="000A27AF" w:rsidP="00BD14BB">
            <w:pPr>
              <w:pStyle w:val="NoSpacing"/>
              <w:spacing w:before="120"/>
              <w:jc w:val="both"/>
              <w:rPr>
                <w:rFonts w:ascii="Arial" w:hAnsi="Arial" w:cs="Arial"/>
                <w:snapToGrid w:val="0"/>
                <w:sz w:val="24"/>
                <w:szCs w:val="24"/>
              </w:rPr>
            </w:pPr>
            <w:r w:rsidRPr="007061E1">
              <w:rPr>
                <w:rFonts w:ascii="Arial" w:hAnsi="Arial" w:cs="Arial"/>
                <w:snapToGrid w:val="0"/>
                <w:sz w:val="24"/>
                <w:szCs w:val="24"/>
              </w:rPr>
              <w:t>National Insurance</w:t>
            </w:r>
          </w:p>
        </w:tc>
        <w:tc>
          <w:tcPr>
            <w:tcW w:w="2551" w:type="dxa"/>
          </w:tcPr>
          <w:p w14:paraId="60F7D3BF" w14:textId="77777777" w:rsidR="000A27AF" w:rsidRPr="007061E1" w:rsidRDefault="000A27AF" w:rsidP="00BD14BB">
            <w:pPr>
              <w:pStyle w:val="NoSpacing"/>
              <w:spacing w:before="120"/>
              <w:jc w:val="center"/>
              <w:rPr>
                <w:rFonts w:ascii="Arial" w:hAnsi="Arial" w:cs="Arial"/>
                <w:b/>
                <w:bCs/>
                <w:snapToGrid w:val="0"/>
                <w:sz w:val="24"/>
                <w:szCs w:val="24"/>
              </w:rPr>
            </w:pPr>
          </w:p>
        </w:tc>
        <w:tc>
          <w:tcPr>
            <w:tcW w:w="2642" w:type="dxa"/>
          </w:tcPr>
          <w:p w14:paraId="1E8333DC" w14:textId="77777777" w:rsidR="000A27AF" w:rsidRPr="007061E1" w:rsidRDefault="000A27AF" w:rsidP="00BD14BB">
            <w:pPr>
              <w:pStyle w:val="NoSpacing"/>
              <w:spacing w:before="120"/>
              <w:jc w:val="center"/>
              <w:rPr>
                <w:rFonts w:ascii="Arial" w:hAnsi="Arial" w:cs="Arial"/>
                <w:snapToGrid w:val="0"/>
                <w:sz w:val="24"/>
                <w:szCs w:val="24"/>
              </w:rPr>
            </w:pPr>
            <w:r w:rsidRPr="007061E1">
              <w:rPr>
                <w:rFonts w:ascii="Arial" w:hAnsi="Arial" w:cs="Arial"/>
                <w:snapToGrid w:val="0"/>
                <w:sz w:val="24"/>
                <w:szCs w:val="24"/>
              </w:rPr>
              <w:t>4.0</w:t>
            </w:r>
          </w:p>
        </w:tc>
      </w:tr>
      <w:tr w:rsidR="000A27AF" w:rsidRPr="007061E1" w14:paraId="227FDC31" w14:textId="77777777" w:rsidTr="00BD14BB">
        <w:trPr>
          <w:jc w:val="center"/>
        </w:trPr>
        <w:tc>
          <w:tcPr>
            <w:tcW w:w="3823" w:type="dxa"/>
          </w:tcPr>
          <w:p w14:paraId="22EA0BC5" w14:textId="77777777" w:rsidR="000A27AF" w:rsidRPr="007061E1" w:rsidRDefault="000A27AF" w:rsidP="00BD14BB">
            <w:pPr>
              <w:pStyle w:val="NoSpacing"/>
              <w:spacing w:before="120"/>
              <w:jc w:val="both"/>
              <w:rPr>
                <w:rFonts w:ascii="Arial" w:hAnsi="Arial" w:cs="Arial"/>
                <w:snapToGrid w:val="0"/>
                <w:sz w:val="24"/>
                <w:szCs w:val="24"/>
              </w:rPr>
            </w:pPr>
            <w:r w:rsidRPr="007061E1">
              <w:rPr>
                <w:rFonts w:ascii="Arial" w:hAnsi="Arial" w:cs="Arial"/>
                <w:snapToGrid w:val="0"/>
                <w:sz w:val="24"/>
                <w:szCs w:val="24"/>
              </w:rPr>
              <w:t>Neighbourhood Policing</w:t>
            </w:r>
          </w:p>
        </w:tc>
        <w:tc>
          <w:tcPr>
            <w:tcW w:w="2551" w:type="dxa"/>
          </w:tcPr>
          <w:p w14:paraId="07D241DD" w14:textId="77777777" w:rsidR="000A27AF" w:rsidRPr="007061E1" w:rsidRDefault="000A27AF" w:rsidP="00BD14BB">
            <w:pPr>
              <w:pStyle w:val="NoSpacing"/>
              <w:spacing w:before="120"/>
              <w:jc w:val="center"/>
              <w:rPr>
                <w:rFonts w:ascii="Arial" w:hAnsi="Arial" w:cs="Arial"/>
                <w:b/>
                <w:bCs/>
                <w:snapToGrid w:val="0"/>
                <w:sz w:val="24"/>
                <w:szCs w:val="24"/>
              </w:rPr>
            </w:pPr>
          </w:p>
        </w:tc>
        <w:tc>
          <w:tcPr>
            <w:tcW w:w="2642" w:type="dxa"/>
          </w:tcPr>
          <w:p w14:paraId="28355EBA" w14:textId="77777777" w:rsidR="000A27AF" w:rsidRPr="007061E1" w:rsidRDefault="000A27AF" w:rsidP="00BD14BB">
            <w:pPr>
              <w:pStyle w:val="NoSpacing"/>
              <w:spacing w:before="120"/>
              <w:jc w:val="center"/>
              <w:rPr>
                <w:rFonts w:ascii="Arial" w:hAnsi="Arial" w:cs="Arial"/>
                <w:snapToGrid w:val="0"/>
                <w:sz w:val="24"/>
                <w:szCs w:val="24"/>
              </w:rPr>
            </w:pPr>
            <w:r w:rsidRPr="007061E1">
              <w:rPr>
                <w:rFonts w:ascii="Arial" w:hAnsi="Arial" w:cs="Arial"/>
                <w:snapToGrid w:val="0"/>
                <w:sz w:val="24"/>
                <w:szCs w:val="24"/>
              </w:rPr>
              <w:t>2.6</w:t>
            </w:r>
          </w:p>
        </w:tc>
      </w:tr>
      <w:tr w:rsidR="000A27AF" w:rsidRPr="007061E1" w14:paraId="1A38C58E" w14:textId="77777777" w:rsidTr="00BD14BB">
        <w:trPr>
          <w:jc w:val="center"/>
        </w:trPr>
        <w:tc>
          <w:tcPr>
            <w:tcW w:w="3823" w:type="dxa"/>
          </w:tcPr>
          <w:p w14:paraId="1E2EF661" w14:textId="77777777" w:rsidR="000A27AF" w:rsidRPr="007061E1" w:rsidRDefault="000A27AF" w:rsidP="00BD14BB">
            <w:pPr>
              <w:pStyle w:val="NoSpacing"/>
              <w:spacing w:before="120"/>
              <w:jc w:val="both"/>
              <w:rPr>
                <w:rFonts w:ascii="Arial" w:hAnsi="Arial" w:cs="Arial"/>
                <w:b/>
                <w:bCs/>
                <w:snapToGrid w:val="0"/>
                <w:sz w:val="24"/>
                <w:szCs w:val="24"/>
              </w:rPr>
            </w:pPr>
            <w:r w:rsidRPr="007061E1">
              <w:rPr>
                <w:rFonts w:ascii="Arial" w:hAnsi="Arial" w:cs="Arial"/>
                <w:b/>
                <w:bCs/>
                <w:snapToGrid w:val="0"/>
                <w:sz w:val="24"/>
                <w:szCs w:val="24"/>
              </w:rPr>
              <w:t>Total</w:t>
            </w:r>
          </w:p>
        </w:tc>
        <w:tc>
          <w:tcPr>
            <w:tcW w:w="2551" w:type="dxa"/>
          </w:tcPr>
          <w:p w14:paraId="0AAEB205" w14:textId="77777777" w:rsidR="000A27AF" w:rsidRPr="007061E1" w:rsidRDefault="000A27AF" w:rsidP="00BD14BB">
            <w:pPr>
              <w:pStyle w:val="NoSpacing"/>
              <w:spacing w:before="120"/>
              <w:jc w:val="center"/>
              <w:rPr>
                <w:rFonts w:ascii="Arial" w:hAnsi="Arial" w:cs="Arial"/>
                <w:b/>
                <w:bCs/>
                <w:snapToGrid w:val="0"/>
                <w:sz w:val="24"/>
                <w:szCs w:val="24"/>
              </w:rPr>
            </w:pPr>
            <w:r w:rsidRPr="007061E1">
              <w:rPr>
                <w:rFonts w:ascii="Arial" w:hAnsi="Arial" w:cs="Arial"/>
                <w:b/>
                <w:bCs/>
                <w:snapToGrid w:val="0"/>
                <w:sz w:val="24"/>
                <w:szCs w:val="24"/>
              </w:rPr>
              <w:t>140.3</w:t>
            </w:r>
          </w:p>
        </w:tc>
        <w:tc>
          <w:tcPr>
            <w:tcW w:w="2642" w:type="dxa"/>
          </w:tcPr>
          <w:p w14:paraId="6AF027EE" w14:textId="77777777" w:rsidR="000A27AF" w:rsidRPr="007061E1" w:rsidRDefault="000A27AF" w:rsidP="00BD14BB">
            <w:pPr>
              <w:pStyle w:val="NoSpacing"/>
              <w:spacing w:before="120"/>
              <w:jc w:val="center"/>
              <w:rPr>
                <w:rFonts w:ascii="Arial" w:hAnsi="Arial" w:cs="Arial"/>
                <w:b/>
                <w:bCs/>
                <w:snapToGrid w:val="0"/>
                <w:sz w:val="24"/>
                <w:szCs w:val="24"/>
              </w:rPr>
            </w:pPr>
            <w:r w:rsidRPr="007061E1">
              <w:rPr>
                <w:rFonts w:ascii="Arial" w:hAnsi="Arial" w:cs="Arial"/>
                <w:b/>
                <w:bCs/>
                <w:snapToGrid w:val="0"/>
                <w:sz w:val="24"/>
                <w:szCs w:val="24"/>
              </w:rPr>
              <w:t>150.5</w:t>
            </w:r>
          </w:p>
        </w:tc>
      </w:tr>
      <w:tr w:rsidR="000A27AF" w:rsidRPr="007061E1" w14:paraId="4FDD4427" w14:textId="77777777" w:rsidTr="00BD14BB">
        <w:trPr>
          <w:jc w:val="center"/>
        </w:trPr>
        <w:tc>
          <w:tcPr>
            <w:tcW w:w="3823" w:type="dxa"/>
          </w:tcPr>
          <w:p w14:paraId="0EFFA83D" w14:textId="77777777" w:rsidR="000A27AF" w:rsidRPr="007061E1" w:rsidRDefault="000A27AF" w:rsidP="00BD14BB">
            <w:pPr>
              <w:pStyle w:val="NoSpacing"/>
              <w:spacing w:before="120"/>
              <w:jc w:val="both"/>
              <w:rPr>
                <w:rFonts w:ascii="Arial" w:hAnsi="Arial" w:cs="Arial"/>
                <w:b/>
                <w:bCs/>
                <w:snapToGrid w:val="0"/>
                <w:sz w:val="24"/>
                <w:szCs w:val="24"/>
              </w:rPr>
            </w:pPr>
            <w:r w:rsidRPr="007061E1">
              <w:rPr>
                <w:rFonts w:ascii="Arial" w:hAnsi="Arial" w:cs="Arial"/>
                <w:b/>
                <w:bCs/>
                <w:snapToGrid w:val="0"/>
                <w:sz w:val="24"/>
                <w:szCs w:val="24"/>
              </w:rPr>
              <w:t>Increase</w:t>
            </w:r>
          </w:p>
        </w:tc>
        <w:tc>
          <w:tcPr>
            <w:tcW w:w="2551" w:type="dxa"/>
          </w:tcPr>
          <w:p w14:paraId="00E5E2DD" w14:textId="77777777" w:rsidR="000A27AF" w:rsidRPr="007061E1" w:rsidRDefault="000A27AF" w:rsidP="00BD14BB">
            <w:pPr>
              <w:pStyle w:val="NoSpacing"/>
              <w:spacing w:before="120"/>
              <w:jc w:val="center"/>
              <w:rPr>
                <w:rFonts w:ascii="Arial" w:hAnsi="Arial" w:cs="Arial"/>
                <w:b/>
                <w:bCs/>
                <w:snapToGrid w:val="0"/>
                <w:sz w:val="24"/>
                <w:szCs w:val="24"/>
              </w:rPr>
            </w:pPr>
          </w:p>
        </w:tc>
        <w:tc>
          <w:tcPr>
            <w:tcW w:w="2642" w:type="dxa"/>
          </w:tcPr>
          <w:p w14:paraId="0E3CDC54" w14:textId="77777777" w:rsidR="000A27AF" w:rsidRPr="007061E1" w:rsidRDefault="000A27AF" w:rsidP="00BD14BB">
            <w:pPr>
              <w:pStyle w:val="NoSpacing"/>
              <w:spacing w:before="120"/>
              <w:jc w:val="center"/>
              <w:rPr>
                <w:rFonts w:ascii="Arial" w:hAnsi="Arial" w:cs="Arial"/>
                <w:b/>
                <w:bCs/>
                <w:snapToGrid w:val="0"/>
                <w:sz w:val="24"/>
                <w:szCs w:val="24"/>
              </w:rPr>
            </w:pPr>
            <w:r w:rsidRPr="007061E1">
              <w:rPr>
                <w:rFonts w:ascii="Arial" w:hAnsi="Arial" w:cs="Arial"/>
                <w:b/>
                <w:bCs/>
                <w:snapToGrid w:val="0"/>
                <w:sz w:val="24"/>
                <w:szCs w:val="24"/>
              </w:rPr>
              <w:t>10.2</w:t>
            </w:r>
          </w:p>
        </w:tc>
      </w:tr>
    </w:tbl>
    <w:p w14:paraId="768C7600" w14:textId="77777777" w:rsidR="000A27AF" w:rsidRPr="007061E1" w:rsidRDefault="000A27AF" w:rsidP="000A27AF">
      <w:pPr>
        <w:pStyle w:val="NoSpacing"/>
        <w:spacing w:before="120"/>
        <w:jc w:val="both"/>
        <w:rPr>
          <w:rFonts w:ascii="Arial" w:eastAsia="Times New Roman" w:hAnsi="Arial" w:cs="Arial"/>
          <w:snapToGrid w:val="0"/>
          <w:sz w:val="24"/>
          <w:szCs w:val="24"/>
        </w:rPr>
      </w:pPr>
    </w:p>
    <w:p w14:paraId="0597E0D4" w14:textId="77777777" w:rsidR="000A27AF" w:rsidRPr="00C77876" w:rsidRDefault="000A27AF" w:rsidP="000A27AF">
      <w:pPr>
        <w:pStyle w:val="NoSpacing"/>
        <w:numPr>
          <w:ilvl w:val="0"/>
          <w:numId w:val="2"/>
        </w:numPr>
        <w:spacing w:before="120"/>
        <w:jc w:val="both"/>
        <w:rPr>
          <w:rFonts w:ascii="Arial" w:eastAsia="Times New Roman" w:hAnsi="Arial" w:cs="Arial"/>
          <w:snapToGrid w:val="0"/>
          <w:sz w:val="24"/>
          <w:szCs w:val="24"/>
        </w:rPr>
      </w:pPr>
      <w:r w:rsidRPr="00C77876">
        <w:rPr>
          <w:rFonts w:ascii="Arial" w:eastAsia="Times New Roman" w:hAnsi="Arial" w:cs="Arial"/>
          <w:snapToGrid w:val="0"/>
          <w:sz w:val="24"/>
          <w:szCs w:val="24"/>
        </w:rPr>
        <w:t>Changes have been as follows:</w:t>
      </w:r>
    </w:p>
    <w:p w14:paraId="2E98DE30" w14:textId="77777777" w:rsidR="000A27AF" w:rsidRPr="00C77876" w:rsidRDefault="000A27AF" w:rsidP="000A27AF">
      <w:pPr>
        <w:pStyle w:val="NoSpacing"/>
        <w:numPr>
          <w:ilvl w:val="0"/>
          <w:numId w:val="13"/>
        </w:numPr>
        <w:spacing w:before="120"/>
        <w:jc w:val="both"/>
        <w:rPr>
          <w:rFonts w:ascii="Arial" w:eastAsia="Times New Roman" w:hAnsi="Arial" w:cs="Arial"/>
          <w:snapToGrid w:val="0"/>
          <w:sz w:val="24"/>
          <w:szCs w:val="24"/>
        </w:rPr>
      </w:pPr>
      <w:r w:rsidRPr="00C77876">
        <w:rPr>
          <w:rFonts w:ascii="Arial" w:eastAsia="Times New Roman" w:hAnsi="Arial" w:cs="Arial"/>
          <w:snapToGrid w:val="0"/>
          <w:sz w:val="24"/>
          <w:szCs w:val="24"/>
        </w:rPr>
        <w:t xml:space="preserve">£0.3m transferred from Uplift to core funding to baseline this funding </w:t>
      </w:r>
    </w:p>
    <w:p w14:paraId="3990A19E" w14:textId="77777777" w:rsidR="000A27AF" w:rsidRPr="00C77876" w:rsidRDefault="000A27AF" w:rsidP="000A27AF">
      <w:pPr>
        <w:pStyle w:val="NoSpacing"/>
        <w:numPr>
          <w:ilvl w:val="0"/>
          <w:numId w:val="13"/>
        </w:numPr>
        <w:spacing w:before="120"/>
        <w:jc w:val="both"/>
        <w:rPr>
          <w:rFonts w:ascii="Arial" w:eastAsia="Times New Roman" w:hAnsi="Arial" w:cs="Arial"/>
          <w:snapToGrid w:val="0"/>
          <w:sz w:val="24"/>
          <w:szCs w:val="24"/>
        </w:rPr>
      </w:pPr>
      <w:r w:rsidRPr="00C77876">
        <w:rPr>
          <w:rFonts w:ascii="Arial" w:eastAsia="Times New Roman" w:hAnsi="Arial" w:cs="Arial"/>
          <w:snapToGrid w:val="0"/>
          <w:sz w:val="24"/>
          <w:szCs w:val="24"/>
        </w:rPr>
        <w:t>Pension grant reduced as funding last year included set up costs</w:t>
      </w:r>
    </w:p>
    <w:p w14:paraId="7C94FD7E" w14:textId="77777777" w:rsidR="000A27AF" w:rsidRPr="00C77876" w:rsidRDefault="000A27AF" w:rsidP="000A27AF">
      <w:pPr>
        <w:pStyle w:val="NoSpacing"/>
        <w:numPr>
          <w:ilvl w:val="0"/>
          <w:numId w:val="13"/>
        </w:numPr>
        <w:spacing w:before="120"/>
        <w:jc w:val="both"/>
        <w:rPr>
          <w:rFonts w:ascii="Arial" w:eastAsia="Times New Roman" w:hAnsi="Arial" w:cs="Arial"/>
          <w:snapToGrid w:val="0"/>
          <w:sz w:val="24"/>
          <w:szCs w:val="24"/>
        </w:rPr>
      </w:pPr>
      <w:r w:rsidRPr="00C77876">
        <w:rPr>
          <w:rFonts w:ascii="Arial" w:eastAsia="Times New Roman" w:hAnsi="Arial" w:cs="Arial"/>
          <w:snapToGrid w:val="0"/>
          <w:sz w:val="24"/>
          <w:szCs w:val="24"/>
        </w:rPr>
        <w:t>National Insurance grant is to cover increase in costs due to NI increase. This though is about £0.5m short of the actual cost</w:t>
      </w:r>
    </w:p>
    <w:p w14:paraId="7ACDB578" w14:textId="77777777" w:rsidR="000A27AF" w:rsidRPr="00C77876" w:rsidRDefault="000A27AF" w:rsidP="000A27AF">
      <w:pPr>
        <w:pStyle w:val="NoSpacing"/>
        <w:numPr>
          <w:ilvl w:val="0"/>
          <w:numId w:val="13"/>
        </w:numPr>
        <w:spacing w:before="120"/>
        <w:jc w:val="both"/>
        <w:rPr>
          <w:rFonts w:ascii="Arial" w:eastAsia="Times New Roman" w:hAnsi="Arial" w:cs="Arial"/>
          <w:snapToGrid w:val="0"/>
          <w:sz w:val="24"/>
          <w:szCs w:val="24"/>
        </w:rPr>
      </w:pPr>
      <w:r w:rsidRPr="00C77876">
        <w:rPr>
          <w:rFonts w:ascii="Arial" w:eastAsia="Times New Roman" w:hAnsi="Arial" w:cs="Arial"/>
          <w:snapToGrid w:val="0"/>
          <w:sz w:val="24"/>
          <w:szCs w:val="24"/>
        </w:rPr>
        <w:t>The £2.6m for Neighbourhood Policing is ringfenced for this and can only additional costs incurred can be claimed</w:t>
      </w:r>
    </w:p>
    <w:p w14:paraId="40B7AF9C" w14:textId="77777777" w:rsidR="000A27AF" w:rsidRPr="00C77876" w:rsidRDefault="000A27AF" w:rsidP="000A27AF">
      <w:pPr>
        <w:pStyle w:val="NoSpacing"/>
        <w:numPr>
          <w:ilvl w:val="0"/>
          <w:numId w:val="13"/>
        </w:numPr>
        <w:spacing w:before="120"/>
        <w:jc w:val="both"/>
        <w:rPr>
          <w:rFonts w:ascii="Arial" w:eastAsia="Times New Roman" w:hAnsi="Arial" w:cs="Arial"/>
          <w:snapToGrid w:val="0"/>
          <w:sz w:val="24"/>
          <w:szCs w:val="24"/>
        </w:rPr>
      </w:pPr>
      <w:r w:rsidRPr="00C77876">
        <w:rPr>
          <w:rFonts w:ascii="Arial" w:eastAsia="Times New Roman" w:hAnsi="Arial" w:cs="Arial"/>
          <w:snapToGrid w:val="0"/>
          <w:sz w:val="24"/>
          <w:szCs w:val="24"/>
        </w:rPr>
        <w:t>Uplift remains ringfenced and subject to maintaining a baseline of officers</w:t>
      </w:r>
    </w:p>
    <w:p w14:paraId="61D8C69E" w14:textId="77777777" w:rsidR="000A27AF" w:rsidRPr="0050145D" w:rsidRDefault="000A27AF" w:rsidP="000A27AF">
      <w:pPr>
        <w:pStyle w:val="NoSpacing"/>
        <w:spacing w:before="120"/>
        <w:ind w:left="360"/>
        <w:jc w:val="both"/>
        <w:rPr>
          <w:rFonts w:ascii="Arial" w:hAnsi="Arial" w:cs="Arial"/>
          <w:b/>
          <w:color w:val="000000"/>
          <w:sz w:val="24"/>
          <w:szCs w:val="24"/>
          <w:highlight w:val="yellow"/>
        </w:rPr>
      </w:pPr>
    </w:p>
    <w:p w14:paraId="54487829" w14:textId="77777777" w:rsidR="000A27AF" w:rsidRPr="000C4B47" w:rsidRDefault="000A27AF" w:rsidP="000A27AF">
      <w:pPr>
        <w:autoSpaceDE w:val="0"/>
        <w:autoSpaceDN w:val="0"/>
        <w:adjustRightInd w:val="0"/>
        <w:spacing w:after="0" w:line="240" w:lineRule="auto"/>
        <w:ind w:left="360"/>
        <w:rPr>
          <w:rFonts w:ascii="Arial" w:hAnsi="Arial" w:cs="Arial"/>
          <w:b/>
          <w:color w:val="000000"/>
          <w:sz w:val="24"/>
          <w:szCs w:val="24"/>
        </w:rPr>
      </w:pPr>
      <w:r w:rsidRPr="000C4B47">
        <w:rPr>
          <w:rFonts w:ascii="Arial" w:hAnsi="Arial" w:cs="Arial"/>
          <w:b/>
          <w:color w:val="000000"/>
          <w:sz w:val="24"/>
          <w:szCs w:val="24"/>
        </w:rPr>
        <w:t xml:space="preserve">Budget Growth </w:t>
      </w:r>
    </w:p>
    <w:p w14:paraId="7B3691C9" w14:textId="77777777" w:rsidR="000A27AF" w:rsidRPr="000C4B47" w:rsidRDefault="000A27AF" w:rsidP="000A27AF">
      <w:pPr>
        <w:autoSpaceDE w:val="0"/>
        <w:autoSpaceDN w:val="0"/>
        <w:adjustRightInd w:val="0"/>
        <w:spacing w:after="0" w:line="240" w:lineRule="auto"/>
        <w:ind w:left="360"/>
        <w:rPr>
          <w:rFonts w:ascii="Arial" w:hAnsi="Arial" w:cs="Arial"/>
          <w:b/>
          <w:color w:val="000000"/>
          <w:sz w:val="24"/>
          <w:szCs w:val="24"/>
        </w:rPr>
      </w:pPr>
    </w:p>
    <w:p w14:paraId="7783C480" w14:textId="77777777" w:rsidR="000A27AF" w:rsidRPr="000C4B47" w:rsidRDefault="000A27AF" w:rsidP="000A27AF">
      <w:pPr>
        <w:pStyle w:val="ListParagraph"/>
        <w:numPr>
          <w:ilvl w:val="0"/>
          <w:numId w:val="2"/>
        </w:numPr>
        <w:jc w:val="both"/>
        <w:rPr>
          <w:rFonts w:ascii="Arial" w:hAnsi="Arial" w:cs="Arial"/>
          <w:color w:val="000000"/>
          <w:sz w:val="24"/>
          <w:szCs w:val="24"/>
        </w:rPr>
      </w:pPr>
      <w:r w:rsidRPr="000C4B47">
        <w:rPr>
          <w:rFonts w:ascii="Arial" w:hAnsi="Arial" w:cs="Arial"/>
          <w:color w:val="000000"/>
          <w:sz w:val="24"/>
          <w:szCs w:val="24"/>
        </w:rPr>
        <w:t xml:space="preserve">At the start of the budget process services are asked to submit their unavoidable growth bids for possible inclusion within the budget. These bids go through a rigorous challenge process to ascertain whether they are indeed unavoidable, and as a result a large number are dismissed. </w:t>
      </w:r>
    </w:p>
    <w:p w14:paraId="151665B4" w14:textId="77777777" w:rsidR="000A27AF" w:rsidRPr="000C4B47" w:rsidRDefault="000A27AF" w:rsidP="000A27AF">
      <w:pPr>
        <w:pStyle w:val="ListParagraph"/>
        <w:ind w:left="360"/>
        <w:jc w:val="both"/>
        <w:rPr>
          <w:rFonts w:ascii="Arial" w:hAnsi="Arial" w:cs="Arial"/>
          <w:color w:val="000000"/>
          <w:sz w:val="24"/>
          <w:szCs w:val="24"/>
        </w:rPr>
      </w:pPr>
    </w:p>
    <w:p w14:paraId="17485FF8" w14:textId="77777777" w:rsidR="000A27AF" w:rsidRPr="000C4B47" w:rsidRDefault="000A27AF" w:rsidP="000A27AF">
      <w:pPr>
        <w:pStyle w:val="ListParagraph"/>
        <w:numPr>
          <w:ilvl w:val="0"/>
          <w:numId w:val="2"/>
        </w:numPr>
        <w:jc w:val="both"/>
        <w:rPr>
          <w:rFonts w:ascii="Arial" w:hAnsi="Arial" w:cs="Arial"/>
          <w:color w:val="000000"/>
          <w:sz w:val="24"/>
          <w:szCs w:val="24"/>
        </w:rPr>
      </w:pPr>
      <w:r w:rsidRPr="000C4B47">
        <w:rPr>
          <w:rFonts w:ascii="Arial" w:hAnsi="Arial" w:cs="Arial"/>
          <w:color w:val="000000"/>
          <w:sz w:val="24"/>
          <w:szCs w:val="24"/>
        </w:rPr>
        <w:t xml:space="preserve">The biggest growth relates to the pay with a 2% allowance for 2025/26. National insurance has also been reflected although this is partially funded. The total growth and the resulting budget </w:t>
      </w:r>
      <w:proofErr w:type="gramStart"/>
      <w:r w:rsidRPr="000C4B47">
        <w:rPr>
          <w:rFonts w:ascii="Arial" w:hAnsi="Arial" w:cs="Arial"/>
          <w:color w:val="000000"/>
          <w:sz w:val="24"/>
          <w:szCs w:val="24"/>
        </w:rPr>
        <w:t>is</w:t>
      </w:r>
      <w:proofErr w:type="gramEnd"/>
      <w:r w:rsidRPr="000C4B47">
        <w:rPr>
          <w:rFonts w:ascii="Arial" w:hAnsi="Arial" w:cs="Arial"/>
          <w:color w:val="000000"/>
          <w:sz w:val="24"/>
          <w:szCs w:val="24"/>
        </w:rPr>
        <w:t xml:space="preserve"> set out in the table below:</w:t>
      </w:r>
    </w:p>
    <w:tbl>
      <w:tblPr>
        <w:tblStyle w:val="TableGrid"/>
        <w:tblW w:w="8153" w:type="dxa"/>
        <w:jc w:val="center"/>
        <w:tblInd w:w="0" w:type="dxa"/>
        <w:tblLook w:val="0420" w:firstRow="1" w:lastRow="0" w:firstColumn="0" w:lastColumn="0" w:noHBand="0" w:noVBand="1"/>
      </w:tblPr>
      <w:tblGrid>
        <w:gridCol w:w="4889"/>
        <w:gridCol w:w="1632"/>
        <w:gridCol w:w="1632"/>
      </w:tblGrid>
      <w:tr w:rsidR="000A27AF" w:rsidRPr="00B76F59" w14:paraId="7484D145" w14:textId="77777777" w:rsidTr="00BD14BB">
        <w:trPr>
          <w:trHeight w:val="20"/>
          <w:jc w:val="center"/>
        </w:trPr>
        <w:tc>
          <w:tcPr>
            <w:tcW w:w="4889" w:type="dxa"/>
            <w:hideMark/>
          </w:tcPr>
          <w:p w14:paraId="4E965BB3" w14:textId="77777777" w:rsidR="000A27AF" w:rsidRPr="00B76F59" w:rsidRDefault="000A27AF" w:rsidP="00BD14BB">
            <w:pPr>
              <w:jc w:val="center"/>
              <w:rPr>
                <w:sz w:val="24"/>
                <w:szCs w:val="24"/>
              </w:rPr>
            </w:pPr>
            <w:r w:rsidRPr="00B76F59">
              <w:rPr>
                <w:b/>
                <w:bCs/>
                <w:color w:val="000000" w:themeColor="dark1"/>
                <w:kern w:val="24"/>
                <w:sz w:val="24"/>
                <w:szCs w:val="24"/>
              </w:rPr>
              <w:t>Category</w:t>
            </w:r>
          </w:p>
        </w:tc>
        <w:tc>
          <w:tcPr>
            <w:tcW w:w="1632" w:type="dxa"/>
            <w:hideMark/>
          </w:tcPr>
          <w:p w14:paraId="7948BB1D" w14:textId="77777777" w:rsidR="000A27AF" w:rsidRPr="00B76F59" w:rsidRDefault="000A27AF" w:rsidP="00BD14BB">
            <w:pPr>
              <w:jc w:val="center"/>
              <w:rPr>
                <w:sz w:val="24"/>
                <w:szCs w:val="24"/>
              </w:rPr>
            </w:pPr>
            <w:r w:rsidRPr="00B76F59">
              <w:rPr>
                <w:b/>
                <w:bCs/>
                <w:color w:val="000000" w:themeColor="dark1"/>
                <w:kern w:val="24"/>
                <w:sz w:val="24"/>
                <w:szCs w:val="24"/>
              </w:rPr>
              <w:t>£m</w:t>
            </w:r>
          </w:p>
        </w:tc>
        <w:tc>
          <w:tcPr>
            <w:tcW w:w="1632" w:type="dxa"/>
          </w:tcPr>
          <w:p w14:paraId="763F469C" w14:textId="77777777" w:rsidR="000A27AF" w:rsidRPr="00B76F59" w:rsidRDefault="000A27AF" w:rsidP="00BD14BB">
            <w:pPr>
              <w:jc w:val="center"/>
              <w:rPr>
                <w:b/>
                <w:bCs/>
                <w:color w:val="000000" w:themeColor="dark1"/>
                <w:kern w:val="24"/>
                <w:sz w:val="24"/>
                <w:szCs w:val="24"/>
              </w:rPr>
            </w:pPr>
            <w:r w:rsidRPr="00B76F59">
              <w:rPr>
                <w:b/>
                <w:bCs/>
                <w:color w:val="000000" w:themeColor="dark1"/>
                <w:kern w:val="24"/>
                <w:sz w:val="24"/>
                <w:szCs w:val="24"/>
              </w:rPr>
              <w:t>£m</w:t>
            </w:r>
          </w:p>
        </w:tc>
      </w:tr>
      <w:tr w:rsidR="000A27AF" w:rsidRPr="00B76F59" w14:paraId="41AAF979" w14:textId="77777777" w:rsidTr="00BD14BB">
        <w:trPr>
          <w:trHeight w:val="20"/>
          <w:jc w:val="center"/>
        </w:trPr>
        <w:tc>
          <w:tcPr>
            <w:tcW w:w="4889" w:type="dxa"/>
          </w:tcPr>
          <w:p w14:paraId="265D34FC" w14:textId="77777777" w:rsidR="000A27AF" w:rsidRPr="00B76F59" w:rsidRDefault="000A27AF" w:rsidP="00BD14BB">
            <w:pPr>
              <w:rPr>
                <w:b/>
                <w:bCs/>
                <w:color w:val="000000" w:themeColor="dark1"/>
                <w:kern w:val="24"/>
                <w:sz w:val="24"/>
                <w:szCs w:val="24"/>
              </w:rPr>
            </w:pPr>
            <w:r w:rsidRPr="00B76F59">
              <w:rPr>
                <w:b/>
                <w:bCs/>
                <w:color w:val="000000" w:themeColor="dark1"/>
                <w:kern w:val="24"/>
                <w:sz w:val="24"/>
                <w:szCs w:val="24"/>
              </w:rPr>
              <w:t>202</w:t>
            </w:r>
            <w:r>
              <w:rPr>
                <w:b/>
                <w:bCs/>
                <w:color w:val="000000" w:themeColor="dark1"/>
                <w:kern w:val="24"/>
                <w:sz w:val="24"/>
                <w:szCs w:val="24"/>
              </w:rPr>
              <w:t>4</w:t>
            </w:r>
            <w:r w:rsidRPr="00B76F59">
              <w:rPr>
                <w:b/>
                <w:bCs/>
                <w:color w:val="000000" w:themeColor="dark1"/>
                <w:kern w:val="24"/>
                <w:sz w:val="24"/>
                <w:szCs w:val="24"/>
              </w:rPr>
              <w:t>/2</w:t>
            </w:r>
            <w:r>
              <w:rPr>
                <w:b/>
                <w:bCs/>
                <w:color w:val="000000" w:themeColor="dark1"/>
                <w:kern w:val="24"/>
                <w:sz w:val="24"/>
                <w:szCs w:val="24"/>
              </w:rPr>
              <w:t>5</w:t>
            </w:r>
            <w:r w:rsidRPr="00B76F59">
              <w:rPr>
                <w:b/>
                <w:bCs/>
                <w:color w:val="000000" w:themeColor="dark1"/>
                <w:kern w:val="24"/>
                <w:sz w:val="24"/>
                <w:szCs w:val="24"/>
              </w:rPr>
              <w:t xml:space="preserve"> Revenue budget</w:t>
            </w:r>
          </w:p>
        </w:tc>
        <w:tc>
          <w:tcPr>
            <w:tcW w:w="1632" w:type="dxa"/>
          </w:tcPr>
          <w:p w14:paraId="60C67732" w14:textId="77777777" w:rsidR="000A27AF" w:rsidRPr="00B76F59" w:rsidRDefault="000A27AF" w:rsidP="00BD14BB">
            <w:pPr>
              <w:jc w:val="right"/>
              <w:rPr>
                <w:sz w:val="24"/>
                <w:szCs w:val="24"/>
              </w:rPr>
            </w:pPr>
          </w:p>
        </w:tc>
        <w:tc>
          <w:tcPr>
            <w:tcW w:w="1632" w:type="dxa"/>
          </w:tcPr>
          <w:p w14:paraId="38D7963A" w14:textId="77777777" w:rsidR="000A27AF" w:rsidRPr="00B76F59" w:rsidRDefault="000A27AF" w:rsidP="00BD14BB">
            <w:pPr>
              <w:jc w:val="right"/>
              <w:rPr>
                <w:b/>
                <w:bCs/>
                <w:sz w:val="24"/>
                <w:szCs w:val="24"/>
              </w:rPr>
            </w:pPr>
            <w:r w:rsidRPr="00B76F59">
              <w:rPr>
                <w:b/>
                <w:bCs/>
                <w:sz w:val="24"/>
                <w:szCs w:val="24"/>
              </w:rPr>
              <w:t>£309.7</w:t>
            </w:r>
          </w:p>
        </w:tc>
      </w:tr>
      <w:tr w:rsidR="000A27AF" w:rsidRPr="00B76F59" w14:paraId="21BF05E9" w14:textId="77777777" w:rsidTr="00BD14BB">
        <w:trPr>
          <w:trHeight w:val="20"/>
          <w:jc w:val="center"/>
        </w:trPr>
        <w:tc>
          <w:tcPr>
            <w:tcW w:w="4889" w:type="dxa"/>
          </w:tcPr>
          <w:p w14:paraId="57317EF5" w14:textId="77777777" w:rsidR="000A27AF" w:rsidRPr="00B76F59" w:rsidRDefault="000A27AF" w:rsidP="00BD14BB">
            <w:pPr>
              <w:rPr>
                <w:color w:val="000000" w:themeColor="dark1"/>
                <w:kern w:val="24"/>
                <w:sz w:val="24"/>
                <w:szCs w:val="24"/>
              </w:rPr>
            </w:pPr>
            <w:r w:rsidRPr="00B76F59">
              <w:rPr>
                <w:color w:val="000000" w:themeColor="dark1"/>
                <w:kern w:val="24"/>
                <w:sz w:val="24"/>
                <w:szCs w:val="24"/>
              </w:rPr>
              <w:lastRenderedPageBreak/>
              <w:t>Adjustments:</w:t>
            </w:r>
          </w:p>
        </w:tc>
        <w:tc>
          <w:tcPr>
            <w:tcW w:w="1632" w:type="dxa"/>
          </w:tcPr>
          <w:p w14:paraId="20E05B57" w14:textId="77777777" w:rsidR="000A27AF" w:rsidRPr="00B76F59" w:rsidRDefault="000A27AF" w:rsidP="00BD14BB">
            <w:pPr>
              <w:jc w:val="right"/>
              <w:rPr>
                <w:sz w:val="24"/>
                <w:szCs w:val="24"/>
              </w:rPr>
            </w:pPr>
          </w:p>
        </w:tc>
        <w:tc>
          <w:tcPr>
            <w:tcW w:w="1632" w:type="dxa"/>
          </w:tcPr>
          <w:p w14:paraId="5A1CE661" w14:textId="77777777" w:rsidR="000A27AF" w:rsidRPr="00B76F59" w:rsidRDefault="000A27AF" w:rsidP="00BD14BB">
            <w:pPr>
              <w:jc w:val="right"/>
              <w:rPr>
                <w:sz w:val="24"/>
                <w:szCs w:val="24"/>
              </w:rPr>
            </w:pPr>
          </w:p>
        </w:tc>
      </w:tr>
      <w:tr w:rsidR="000A27AF" w:rsidRPr="00B76F59" w14:paraId="3F600C9B" w14:textId="77777777" w:rsidTr="00BD14BB">
        <w:trPr>
          <w:trHeight w:val="20"/>
          <w:jc w:val="center"/>
        </w:trPr>
        <w:tc>
          <w:tcPr>
            <w:tcW w:w="4889" w:type="dxa"/>
            <w:hideMark/>
          </w:tcPr>
          <w:p w14:paraId="385279FC" w14:textId="77777777" w:rsidR="000A27AF" w:rsidRPr="00B76F59" w:rsidRDefault="000A27AF" w:rsidP="00BD14BB">
            <w:pPr>
              <w:rPr>
                <w:sz w:val="24"/>
                <w:szCs w:val="24"/>
              </w:rPr>
            </w:pPr>
            <w:r w:rsidRPr="00B76F59">
              <w:rPr>
                <w:color w:val="000000" w:themeColor="dark1"/>
                <w:kern w:val="24"/>
                <w:sz w:val="24"/>
                <w:szCs w:val="24"/>
              </w:rPr>
              <w:t>Pay Inflation</w:t>
            </w:r>
          </w:p>
        </w:tc>
        <w:tc>
          <w:tcPr>
            <w:tcW w:w="1632" w:type="dxa"/>
            <w:hideMark/>
          </w:tcPr>
          <w:p w14:paraId="4F1E972E" w14:textId="77777777" w:rsidR="000A27AF" w:rsidRPr="00B76F59" w:rsidRDefault="000A27AF" w:rsidP="00BD14BB">
            <w:pPr>
              <w:jc w:val="right"/>
              <w:rPr>
                <w:sz w:val="24"/>
                <w:szCs w:val="24"/>
              </w:rPr>
            </w:pPr>
            <w:r w:rsidRPr="00B76F59">
              <w:rPr>
                <w:sz w:val="24"/>
                <w:szCs w:val="24"/>
              </w:rPr>
              <w:t>7.7</w:t>
            </w:r>
          </w:p>
        </w:tc>
        <w:tc>
          <w:tcPr>
            <w:tcW w:w="1632" w:type="dxa"/>
          </w:tcPr>
          <w:p w14:paraId="639AA95C" w14:textId="77777777" w:rsidR="000A27AF" w:rsidRPr="00B76F59" w:rsidRDefault="000A27AF" w:rsidP="00BD14BB">
            <w:pPr>
              <w:jc w:val="right"/>
              <w:rPr>
                <w:sz w:val="24"/>
                <w:szCs w:val="24"/>
              </w:rPr>
            </w:pPr>
          </w:p>
        </w:tc>
      </w:tr>
      <w:tr w:rsidR="000A27AF" w:rsidRPr="00B76F59" w14:paraId="735ECDF2" w14:textId="77777777" w:rsidTr="00BD14BB">
        <w:trPr>
          <w:trHeight w:val="20"/>
          <w:jc w:val="center"/>
        </w:trPr>
        <w:tc>
          <w:tcPr>
            <w:tcW w:w="4889" w:type="dxa"/>
            <w:hideMark/>
          </w:tcPr>
          <w:p w14:paraId="62D07C82" w14:textId="77777777" w:rsidR="000A27AF" w:rsidRPr="00B76F59" w:rsidRDefault="000A27AF" w:rsidP="00BD14BB">
            <w:pPr>
              <w:rPr>
                <w:sz w:val="24"/>
                <w:szCs w:val="24"/>
              </w:rPr>
            </w:pPr>
            <w:r w:rsidRPr="00B76F59">
              <w:rPr>
                <w:sz w:val="24"/>
                <w:szCs w:val="24"/>
              </w:rPr>
              <w:t>Price Inflation</w:t>
            </w:r>
          </w:p>
        </w:tc>
        <w:tc>
          <w:tcPr>
            <w:tcW w:w="1632" w:type="dxa"/>
            <w:hideMark/>
          </w:tcPr>
          <w:p w14:paraId="73457E23" w14:textId="77777777" w:rsidR="000A27AF" w:rsidRPr="00B76F59" w:rsidRDefault="000A27AF" w:rsidP="00BD14BB">
            <w:pPr>
              <w:jc w:val="right"/>
              <w:rPr>
                <w:sz w:val="24"/>
                <w:szCs w:val="24"/>
              </w:rPr>
            </w:pPr>
            <w:r w:rsidRPr="00B76F59">
              <w:rPr>
                <w:sz w:val="24"/>
                <w:szCs w:val="24"/>
              </w:rPr>
              <w:t>1.3</w:t>
            </w:r>
          </w:p>
        </w:tc>
        <w:tc>
          <w:tcPr>
            <w:tcW w:w="1632" w:type="dxa"/>
          </w:tcPr>
          <w:p w14:paraId="4C04E8AB" w14:textId="77777777" w:rsidR="000A27AF" w:rsidRPr="00B76F59" w:rsidRDefault="000A27AF" w:rsidP="00BD14BB">
            <w:pPr>
              <w:jc w:val="right"/>
              <w:rPr>
                <w:color w:val="000000" w:themeColor="dark1"/>
                <w:kern w:val="24"/>
                <w:sz w:val="24"/>
                <w:szCs w:val="24"/>
              </w:rPr>
            </w:pPr>
          </w:p>
        </w:tc>
      </w:tr>
      <w:tr w:rsidR="000A27AF" w:rsidRPr="00B76F59" w14:paraId="3B8E115B" w14:textId="77777777" w:rsidTr="00BD14BB">
        <w:trPr>
          <w:trHeight w:val="20"/>
          <w:jc w:val="center"/>
        </w:trPr>
        <w:tc>
          <w:tcPr>
            <w:tcW w:w="4889" w:type="dxa"/>
          </w:tcPr>
          <w:p w14:paraId="170FB75A" w14:textId="77777777" w:rsidR="000A27AF" w:rsidRPr="00B76F59" w:rsidRDefault="000A27AF" w:rsidP="00BD14BB">
            <w:pPr>
              <w:rPr>
                <w:color w:val="000000" w:themeColor="dark1"/>
                <w:kern w:val="24"/>
                <w:sz w:val="24"/>
                <w:szCs w:val="24"/>
              </w:rPr>
            </w:pPr>
            <w:r w:rsidRPr="00B76F59">
              <w:rPr>
                <w:color w:val="000000" w:themeColor="dark1"/>
                <w:kern w:val="24"/>
                <w:sz w:val="24"/>
                <w:szCs w:val="24"/>
              </w:rPr>
              <w:t>Police officer and staff increments</w:t>
            </w:r>
          </w:p>
        </w:tc>
        <w:tc>
          <w:tcPr>
            <w:tcW w:w="1632" w:type="dxa"/>
          </w:tcPr>
          <w:p w14:paraId="50F9A3AD" w14:textId="77777777" w:rsidR="000A27AF" w:rsidRPr="00B76F59" w:rsidRDefault="000A27AF" w:rsidP="00BD14BB">
            <w:pPr>
              <w:jc w:val="right"/>
              <w:rPr>
                <w:color w:val="000000" w:themeColor="dark1"/>
                <w:kern w:val="24"/>
                <w:sz w:val="24"/>
                <w:szCs w:val="24"/>
              </w:rPr>
            </w:pPr>
            <w:r w:rsidRPr="00B76F59">
              <w:rPr>
                <w:color w:val="000000" w:themeColor="dark1"/>
                <w:kern w:val="24"/>
                <w:sz w:val="24"/>
                <w:szCs w:val="24"/>
              </w:rPr>
              <w:t>1.3</w:t>
            </w:r>
          </w:p>
        </w:tc>
        <w:tc>
          <w:tcPr>
            <w:tcW w:w="1632" w:type="dxa"/>
          </w:tcPr>
          <w:p w14:paraId="14091598" w14:textId="77777777" w:rsidR="000A27AF" w:rsidRPr="00B76F59" w:rsidRDefault="000A27AF" w:rsidP="00BD14BB">
            <w:pPr>
              <w:jc w:val="right"/>
              <w:rPr>
                <w:color w:val="000000" w:themeColor="dark1"/>
                <w:kern w:val="24"/>
                <w:sz w:val="24"/>
                <w:szCs w:val="24"/>
              </w:rPr>
            </w:pPr>
          </w:p>
        </w:tc>
      </w:tr>
      <w:tr w:rsidR="000A27AF" w:rsidRPr="00B76F59" w14:paraId="59097018" w14:textId="77777777" w:rsidTr="00BD14BB">
        <w:trPr>
          <w:trHeight w:val="20"/>
          <w:jc w:val="center"/>
        </w:trPr>
        <w:tc>
          <w:tcPr>
            <w:tcW w:w="4889" w:type="dxa"/>
          </w:tcPr>
          <w:p w14:paraId="543C9F2F" w14:textId="77777777" w:rsidR="000A27AF" w:rsidRPr="00B76F59" w:rsidRDefault="000A27AF" w:rsidP="00BD14BB">
            <w:pPr>
              <w:rPr>
                <w:color w:val="000000" w:themeColor="dark1"/>
                <w:kern w:val="24"/>
                <w:sz w:val="24"/>
                <w:szCs w:val="24"/>
              </w:rPr>
            </w:pPr>
            <w:r w:rsidRPr="00B76F59">
              <w:rPr>
                <w:color w:val="000000" w:themeColor="dark1"/>
                <w:kern w:val="24"/>
                <w:sz w:val="24"/>
                <w:szCs w:val="24"/>
              </w:rPr>
              <w:t>National Insurance</w:t>
            </w:r>
          </w:p>
        </w:tc>
        <w:tc>
          <w:tcPr>
            <w:tcW w:w="1632" w:type="dxa"/>
          </w:tcPr>
          <w:p w14:paraId="34B3A0B9" w14:textId="77777777" w:rsidR="000A27AF" w:rsidRPr="00B76F59" w:rsidRDefault="000A27AF" w:rsidP="00BD14BB">
            <w:pPr>
              <w:jc w:val="right"/>
              <w:rPr>
                <w:color w:val="000000" w:themeColor="dark1"/>
                <w:kern w:val="24"/>
                <w:sz w:val="24"/>
                <w:szCs w:val="24"/>
              </w:rPr>
            </w:pPr>
            <w:r w:rsidRPr="00B76F59">
              <w:rPr>
                <w:color w:val="000000" w:themeColor="dark1"/>
                <w:kern w:val="24"/>
                <w:sz w:val="24"/>
                <w:szCs w:val="24"/>
              </w:rPr>
              <w:t>4.5</w:t>
            </w:r>
          </w:p>
        </w:tc>
        <w:tc>
          <w:tcPr>
            <w:tcW w:w="1632" w:type="dxa"/>
          </w:tcPr>
          <w:p w14:paraId="6A299A18" w14:textId="77777777" w:rsidR="000A27AF" w:rsidRPr="00B76F59" w:rsidRDefault="000A27AF" w:rsidP="00BD14BB">
            <w:pPr>
              <w:jc w:val="right"/>
              <w:rPr>
                <w:color w:val="000000" w:themeColor="dark1"/>
                <w:kern w:val="24"/>
                <w:sz w:val="24"/>
                <w:szCs w:val="24"/>
              </w:rPr>
            </w:pPr>
          </w:p>
        </w:tc>
      </w:tr>
      <w:tr w:rsidR="000A27AF" w:rsidRPr="00B76F59" w14:paraId="56967F45" w14:textId="77777777" w:rsidTr="00BD14BB">
        <w:trPr>
          <w:trHeight w:val="20"/>
          <w:jc w:val="center"/>
        </w:trPr>
        <w:tc>
          <w:tcPr>
            <w:tcW w:w="4889" w:type="dxa"/>
          </w:tcPr>
          <w:p w14:paraId="5A1E3FB4" w14:textId="77777777" w:rsidR="000A27AF" w:rsidRPr="00B76F59" w:rsidRDefault="000A27AF" w:rsidP="00BD14BB">
            <w:pPr>
              <w:rPr>
                <w:sz w:val="24"/>
                <w:szCs w:val="24"/>
              </w:rPr>
            </w:pPr>
            <w:r w:rsidRPr="00B76F59">
              <w:rPr>
                <w:sz w:val="24"/>
                <w:szCs w:val="24"/>
              </w:rPr>
              <w:t>Op Uplift over recruitment</w:t>
            </w:r>
          </w:p>
        </w:tc>
        <w:tc>
          <w:tcPr>
            <w:tcW w:w="1632" w:type="dxa"/>
          </w:tcPr>
          <w:p w14:paraId="557EC750" w14:textId="77777777" w:rsidR="000A27AF" w:rsidRPr="00B76F59" w:rsidRDefault="000A27AF" w:rsidP="00BD14BB">
            <w:pPr>
              <w:jc w:val="right"/>
              <w:rPr>
                <w:sz w:val="24"/>
                <w:szCs w:val="24"/>
              </w:rPr>
            </w:pPr>
            <w:r w:rsidRPr="00B76F59">
              <w:rPr>
                <w:sz w:val="24"/>
                <w:szCs w:val="24"/>
              </w:rPr>
              <w:t>0.8</w:t>
            </w:r>
          </w:p>
        </w:tc>
        <w:tc>
          <w:tcPr>
            <w:tcW w:w="1632" w:type="dxa"/>
          </w:tcPr>
          <w:p w14:paraId="7BB1299E" w14:textId="77777777" w:rsidR="000A27AF" w:rsidRPr="00B76F59" w:rsidRDefault="000A27AF" w:rsidP="00BD14BB">
            <w:pPr>
              <w:jc w:val="right"/>
              <w:rPr>
                <w:color w:val="000000" w:themeColor="dark1"/>
                <w:kern w:val="24"/>
                <w:sz w:val="24"/>
                <w:szCs w:val="24"/>
              </w:rPr>
            </w:pPr>
          </w:p>
        </w:tc>
      </w:tr>
      <w:tr w:rsidR="000A27AF" w:rsidRPr="00B76F59" w14:paraId="4BB1376D" w14:textId="77777777" w:rsidTr="00BD14BB">
        <w:trPr>
          <w:trHeight w:val="20"/>
          <w:jc w:val="center"/>
        </w:trPr>
        <w:tc>
          <w:tcPr>
            <w:tcW w:w="4889" w:type="dxa"/>
          </w:tcPr>
          <w:p w14:paraId="669D510E" w14:textId="77777777" w:rsidR="000A27AF" w:rsidRPr="00B76F59" w:rsidRDefault="000A27AF" w:rsidP="00BD14BB">
            <w:pPr>
              <w:rPr>
                <w:sz w:val="24"/>
                <w:szCs w:val="24"/>
              </w:rPr>
            </w:pPr>
            <w:r w:rsidRPr="00B76F59">
              <w:rPr>
                <w:sz w:val="24"/>
                <w:szCs w:val="24"/>
              </w:rPr>
              <w:t>Capital funding and financing</w:t>
            </w:r>
          </w:p>
        </w:tc>
        <w:tc>
          <w:tcPr>
            <w:tcW w:w="1632" w:type="dxa"/>
          </w:tcPr>
          <w:p w14:paraId="3C3B81DE" w14:textId="77777777" w:rsidR="000A27AF" w:rsidRPr="00B76F59" w:rsidRDefault="000A27AF" w:rsidP="00BD14BB">
            <w:pPr>
              <w:jc w:val="right"/>
              <w:rPr>
                <w:sz w:val="24"/>
                <w:szCs w:val="24"/>
              </w:rPr>
            </w:pPr>
            <w:r w:rsidRPr="00B76F59">
              <w:rPr>
                <w:sz w:val="24"/>
                <w:szCs w:val="24"/>
              </w:rPr>
              <w:t>3.8</w:t>
            </w:r>
          </w:p>
        </w:tc>
        <w:tc>
          <w:tcPr>
            <w:tcW w:w="1632" w:type="dxa"/>
          </w:tcPr>
          <w:p w14:paraId="51F1FE2F" w14:textId="77777777" w:rsidR="000A27AF" w:rsidRPr="00B76F59" w:rsidRDefault="000A27AF" w:rsidP="00BD14BB">
            <w:pPr>
              <w:jc w:val="right"/>
              <w:rPr>
                <w:color w:val="000000" w:themeColor="dark1"/>
                <w:kern w:val="24"/>
                <w:sz w:val="24"/>
                <w:szCs w:val="24"/>
              </w:rPr>
            </w:pPr>
          </w:p>
        </w:tc>
      </w:tr>
      <w:tr w:rsidR="000A27AF" w:rsidRPr="00B76F59" w14:paraId="4968FC5C" w14:textId="77777777" w:rsidTr="00BD14BB">
        <w:trPr>
          <w:trHeight w:val="20"/>
          <w:jc w:val="center"/>
        </w:trPr>
        <w:tc>
          <w:tcPr>
            <w:tcW w:w="4889" w:type="dxa"/>
          </w:tcPr>
          <w:p w14:paraId="68A82F14" w14:textId="77777777" w:rsidR="000A27AF" w:rsidRPr="00B76F59" w:rsidRDefault="000A27AF" w:rsidP="00BD14BB">
            <w:pPr>
              <w:rPr>
                <w:sz w:val="24"/>
                <w:szCs w:val="24"/>
              </w:rPr>
            </w:pPr>
            <w:r w:rsidRPr="00B76F59">
              <w:rPr>
                <w:sz w:val="24"/>
                <w:szCs w:val="24"/>
              </w:rPr>
              <w:t>IT and change</w:t>
            </w:r>
          </w:p>
        </w:tc>
        <w:tc>
          <w:tcPr>
            <w:tcW w:w="1632" w:type="dxa"/>
          </w:tcPr>
          <w:p w14:paraId="17231458" w14:textId="77777777" w:rsidR="000A27AF" w:rsidRPr="00B76F59" w:rsidRDefault="000A27AF" w:rsidP="00BD14BB">
            <w:pPr>
              <w:jc w:val="right"/>
              <w:rPr>
                <w:sz w:val="24"/>
                <w:szCs w:val="24"/>
              </w:rPr>
            </w:pPr>
            <w:r w:rsidRPr="00B76F59">
              <w:rPr>
                <w:sz w:val="24"/>
                <w:szCs w:val="24"/>
              </w:rPr>
              <w:t>0.6</w:t>
            </w:r>
          </w:p>
        </w:tc>
        <w:tc>
          <w:tcPr>
            <w:tcW w:w="1632" w:type="dxa"/>
          </w:tcPr>
          <w:p w14:paraId="37D03409" w14:textId="77777777" w:rsidR="000A27AF" w:rsidRPr="00B76F59" w:rsidRDefault="000A27AF" w:rsidP="00BD14BB">
            <w:pPr>
              <w:jc w:val="right"/>
              <w:rPr>
                <w:color w:val="000000" w:themeColor="dark1"/>
                <w:kern w:val="24"/>
                <w:sz w:val="24"/>
                <w:szCs w:val="24"/>
              </w:rPr>
            </w:pPr>
          </w:p>
        </w:tc>
      </w:tr>
      <w:tr w:rsidR="000A27AF" w:rsidRPr="00B76F59" w14:paraId="2AA019D4" w14:textId="77777777" w:rsidTr="00BD14BB">
        <w:trPr>
          <w:trHeight w:val="20"/>
          <w:jc w:val="center"/>
        </w:trPr>
        <w:tc>
          <w:tcPr>
            <w:tcW w:w="4889" w:type="dxa"/>
          </w:tcPr>
          <w:p w14:paraId="5BA62D03" w14:textId="77777777" w:rsidR="000A27AF" w:rsidRPr="00B76F59" w:rsidRDefault="000A27AF" w:rsidP="00BD14BB">
            <w:pPr>
              <w:rPr>
                <w:sz w:val="24"/>
                <w:szCs w:val="24"/>
              </w:rPr>
            </w:pPr>
            <w:r w:rsidRPr="00B76F59">
              <w:rPr>
                <w:sz w:val="24"/>
                <w:szCs w:val="24"/>
              </w:rPr>
              <w:t>Victims and commissioning</w:t>
            </w:r>
          </w:p>
        </w:tc>
        <w:tc>
          <w:tcPr>
            <w:tcW w:w="1632" w:type="dxa"/>
          </w:tcPr>
          <w:p w14:paraId="1119B2E5" w14:textId="77777777" w:rsidR="000A27AF" w:rsidRPr="00B76F59" w:rsidRDefault="000A27AF" w:rsidP="00BD14BB">
            <w:pPr>
              <w:jc w:val="right"/>
              <w:rPr>
                <w:sz w:val="24"/>
                <w:szCs w:val="24"/>
              </w:rPr>
            </w:pPr>
            <w:r w:rsidRPr="00B76F59">
              <w:rPr>
                <w:sz w:val="24"/>
                <w:szCs w:val="24"/>
              </w:rPr>
              <w:t>0.8</w:t>
            </w:r>
          </w:p>
        </w:tc>
        <w:tc>
          <w:tcPr>
            <w:tcW w:w="1632" w:type="dxa"/>
          </w:tcPr>
          <w:p w14:paraId="21F0B6C3" w14:textId="77777777" w:rsidR="000A27AF" w:rsidRPr="00B76F59" w:rsidRDefault="000A27AF" w:rsidP="00BD14BB">
            <w:pPr>
              <w:jc w:val="right"/>
              <w:rPr>
                <w:color w:val="000000" w:themeColor="dark1"/>
                <w:kern w:val="24"/>
                <w:sz w:val="24"/>
                <w:szCs w:val="24"/>
              </w:rPr>
            </w:pPr>
          </w:p>
        </w:tc>
      </w:tr>
      <w:tr w:rsidR="000A27AF" w:rsidRPr="00B76F59" w14:paraId="37D17736" w14:textId="77777777" w:rsidTr="00BD14BB">
        <w:trPr>
          <w:trHeight w:val="20"/>
          <w:jc w:val="center"/>
        </w:trPr>
        <w:tc>
          <w:tcPr>
            <w:tcW w:w="4889" w:type="dxa"/>
          </w:tcPr>
          <w:p w14:paraId="5B0B9C53" w14:textId="77777777" w:rsidR="000A27AF" w:rsidRPr="00B76F59" w:rsidRDefault="000A27AF" w:rsidP="00BD14BB">
            <w:pPr>
              <w:rPr>
                <w:sz w:val="24"/>
                <w:szCs w:val="24"/>
              </w:rPr>
            </w:pPr>
            <w:r w:rsidRPr="00B76F59">
              <w:rPr>
                <w:sz w:val="24"/>
                <w:szCs w:val="24"/>
              </w:rPr>
              <w:t>Estates strategy</w:t>
            </w:r>
          </w:p>
        </w:tc>
        <w:tc>
          <w:tcPr>
            <w:tcW w:w="1632" w:type="dxa"/>
          </w:tcPr>
          <w:p w14:paraId="677912D6" w14:textId="77777777" w:rsidR="000A27AF" w:rsidRPr="00B76F59" w:rsidRDefault="000A27AF" w:rsidP="00BD14BB">
            <w:pPr>
              <w:jc w:val="right"/>
              <w:rPr>
                <w:sz w:val="24"/>
                <w:szCs w:val="24"/>
              </w:rPr>
            </w:pPr>
            <w:r w:rsidRPr="00B76F59">
              <w:rPr>
                <w:sz w:val="24"/>
                <w:szCs w:val="24"/>
              </w:rPr>
              <w:t>0.6</w:t>
            </w:r>
          </w:p>
        </w:tc>
        <w:tc>
          <w:tcPr>
            <w:tcW w:w="1632" w:type="dxa"/>
          </w:tcPr>
          <w:p w14:paraId="2AD49128" w14:textId="77777777" w:rsidR="000A27AF" w:rsidRPr="00B76F59" w:rsidRDefault="000A27AF" w:rsidP="00BD14BB">
            <w:pPr>
              <w:jc w:val="right"/>
              <w:rPr>
                <w:color w:val="000000" w:themeColor="dark1"/>
                <w:kern w:val="24"/>
                <w:sz w:val="24"/>
                <w:szCs w:val="24"/>
              </w:rPr>
            </w:pPr>
          </w:p>
        </w:tc>
      </w:tr>
      <w:tr w:rsidR="000A27AF" w:rsidRPr="00B76F59" w14:paraId="5DAC6984" w14:textId="77777777" w:rsidTr="00BD14BB">
        <w:trPr>
          <w:trHeight w:val="20"/>
          <w:jc w:val="center"/>
        </w:trPr>
        <w:tc>
          <w:tcPr>
            <w:tcW w:w="4889" w:type="dxa"/>
          </w:tcPr>
          <w:p w14:paraId="79D7179F" w14:textId="77777777" w:rsidR="000A27AF" w:rsidRPr="00B76F59" w:rsidRDefault="000A27AF" w:rsidP="00BD14BB">
            <w:pPr>
              <w:rPr>
                <w:sz w:val="24"/>
                <w:szCs w:val="24"/>
              </w:rPr>
            </w:pPr>
            <w:r w:rsidRPr="00B76F59">
              <w:rPr>
                <w:sz w:val="24"/>
                <w:szCs w:val="24"/>
              </w:rPr>
              <w:t>Neighbourhood Policing guarantee</w:t>
            </w:r>
          </w:p>
        </w:tc>
        <w:tc>
          <w:tcPr>
            <w:tcW w:w="1632" w:type="dxa"/>
          </w:tcPr>
          <w:p w14:paraId="4BB23A21" w14:textId="77777777" w:rsidR="000A27AF" w:rsidRPr="00B76F59" w:rsidRDefault="000A27AF" w:rsidP="00BD14BB">
            <w:pPr>
              <w:jc w:val="right"/>
              <w:rPr>
                <w:sz w:val="24"/>
                <w:szCs w:val="24"/>
              </w:rPr>
            </w:pPr>
            <w:r>
              <w:rPr>
                <w:sz w:val="24"/>
                <w:szCs w:val="24"/>
              </w:rPr>
              <w:t>2.6</w:t>
            </w:r>
          </w:p>
        </w:tc>
        <w:tc>
          <w:tcPr>
            <w:tcW w:w="1632" w:type="dxa"/>
          </w:tcPr>
          <w:p w14:paraId="0F6CD823" w14:textId="77777777" w:rsidR="000A27AF" w:rsidRPr="00B76F59" w:rsidRDefault="000A27AF" w:rsidP="00BD14BB">
            <w:pPr>
              <w:jc w:val="right"/>
              <w:rPr>
                <w:color w:val="000000" w:themeColor="dark1"/>
                <w:kern w:val="24"/>
                <w:sz w:val="24"/>
                <w:szCs w:val="24"/>
              </w:rPr>
            </w:pPr>
          </w:p>
        </w:tc>
      </w:tr>
      <w:tr w:rsidR="000A27AF" w:rsidRPr="00B76F59" w14:paraId="33C92575" w14:textId="77777777" w:rsidTr="00BD14BB">
        <w:trPr>
          <w:trHeight w:val="20"/>
          <w:jc w:val="center"/>
        </w:trPr>
        <w:tc>
          <w:tcPr>
            <w:tcW w:w="4889" w:type="dxa"/>
          </w:tcPr>
          <w:p w14:paraId="3A58CCA3" w14:textId="77777777" w:rsidR="000A27AF" w:rsidRPr="00B76F59" w:rsidRDefault="000A27AF" w:rsidP="00BD14BB">
            <w:pPr>
              <w:rPr>
                <w:sz w:val="24"/>
                <w:szCs w:val="24"/>
              </w:rPr>
            </w:pPr>
            <w:r w:rsidRPr="00B76F59">
              <w:rPr>
                <w:sz w:val="24"/>
                <w:szCs w:val="24"/>
              </w:rPr>
              <w:t xml:space="preserve">Regional and national operations </w:t>
            </w:r>
          </w:p>
        </w:tc>
        <w:tc>
          <w:tcPr>
            <w:tcW w:w="1632" w:type="dxa"/>
          </w:tcPr>
          <w:p w14:paraId="7BAF6154" w14:textId="77777777" w:rsidR="000A27AF" w:rsidRPr="00B76F59" w:rsidRDefault="000A27AF" w:rsidP="00BD14BB">
            <w:pPr>
              <w:jc w:val="right"/>
              <w:rPr>
                <w:sz w:val="24"/>
                <w:szCs w:val="24"/>
              </w:rPr>
            </w:pPr>
            <w:r w:rsidRPr="00B76F59">
              <w:rPr>
                <w:sz w:val="24"/>
                <w:szCs w:val="24"/>
              </w:rPr>
              <w:t>0.5</w:t>
            </w:r>
          </w:p>
        </w:tc>
        <w:tc>
          <w:tcPr>
            <w:tcW w:w="1632" w:type="dxa"/>
          </w:tcPr>
          <w:p w14:paraId="1235C4BC" w14:textId="77777777" w:rsidR="000A27AF" w:rsidRPr="00B76F59" w:rsidRDefault="000A27AF" w:rsidP="00BD14BB">
            <w:pPr>
              <w:jc w:val="right"/>
              <w:rPr>
                <w:color w:val="000000" w:themeColor="dark1"/>
                <w:kern w:val="24"/>
                <w:sz w:val="24"/>
                <w:szCs w:val="24"/>
              </w:rPr>
            </w:pPr>
          </w:p>
        </w:tc>
      </w:tr>
      <w:tr w:rsidR="000A27AF" w:rsidRPr="00B76F59" w14:paraId="5678A86E" w14:textId="77777777" w:rsidTr="00BD14BB">
        <w:trPr>
          <w:trHeight w:val="20"/>
          <w:jc w:val="center"/>
        </w:trPr>
        <w:tc>
          <w:tcPr>
            <w:tcW w:w="4889" w:type="dxa"/>
          </w:tcPr>
          <w:p w14:paraId="46AEC615" w14:textId="77777777" w:rsidR="000A27AF" w:rsidRPr="00B76F59" w:rsidRDefault="000A27AF" w:rsidP="00BD14BB">
            <w:pPr>
              <w:rPr>
                <w:b/>
                <w:bCs/>
                <w:sz w:val="24"/>
                <w:szCs w:val="24"/>
              </w:rPr>
            </w:pPr>
            <w:r w:rsidRPr="00B76F59">
              <w:rPr>
                <w:b/>
                <w:bCs/>
                <w:sz w:val="24"/>
                <w:szCs w:val="24"/>
              </w:rPr>
              <w:t>Total Cost Increases</w:t>
            </w:r>
          </w:p>
        </w:tc>
        <w:tc>
          <w:tcPr>
            <w:tcW w:w="1632" w:type="dxa"/>
          </w:tcPr>
          <w:p w14:paraId="39F1DF88" w14:textId="77777777" w:rsidR="000A27AF" w:rsidRPr="00B76F59" w:rsidRDefault="000A27AF" w:rsidP="00BD14BB">
            <w:pPr>
              <w:jc w:val="right"/>
              <w:rPr>
                <w:b/>
                <w:bCs/>
                <w:sz w:val="24"/>
                <w:szCs w:val="24"/>
              </w:rPr>
            </w:pPr>
            <w:r w:rsidRPr="00B76F59">
              <w:rPr>
                <w:b/>
                <w:bCs/>
                <w:sz w:val="24"/>
                <w:szCs w:val="24"/>
              </w:rPr>
              <w:t>2</w:t>
            </w:r>
            <w:r>
              <w:rPr>
                <w:b/>
                <w:bCs/>
                <w:sz w:val="24"/>
                <w:szCs w:val="24"/>
              </w:rPr>
              <w:t>4.5</w:t>
            </w:r>
          </w:p>
        </w:tc>
        <w:tc>
          <w:tcPr>
            <w:tcW w:w="1632" w:type="dxa"/>
          </w:tcPr>
          <w:p w14:paraId="0F193E53" w14:textId="77777777" w:rsidR="000A27AF" w:rsidRPr="00B76F59" w:rsidRDefault="000A27AF" w:rsidP="00BD14BB">
            <w:pPr>
              <w:jc w:val="right"/>
              <w:rPr>
                <w:b/>
                <w:bCs/>
                <w:sz w:val="24"/>
                <w:szCs w:val="24"/>
              </w:rPr>
            </w:pPr>
          </w:p>
        </w:tc>
      </w:tr>
      <w:tr w:rsidR="000A27AF" w:rsidRPr="00B76F59" w14:paraId="77ABFC1A" w14:textId="77777777" w:rsidTr="00BD14BB">
        <w:trPr>
          <w:trHeight w:val="20"/>
          <w:jc w:val="center"/>
        </w:trPr>
        <w:tc>
          <w:tcPr>
            <w:tcW w:w="4889" w:type="dxa"/>
            <w:hideMark/>
          </w:tcPr>
          <w:p w14:paraId="6DE2593A" w14:textId="77777777" w:rsidR="000A27AF" w:rsidRPr="00B76F59" w:rsidRDefault="000A27AF" w:rsidP="00BD14BB">
            <w:pPr>
              <w:rPr>
                <w:sz w:val="24"/>
                <w:szCs w:val="24"/>
              </w:rPr>
            </w:pPr>
            <w:r w:rsidRPr="00B76F59">
              <w:rPr>
                <w:color w:val="000000" w:themeColor="dark1"/>
                <w:kern w:val="24"/>
                <w:sz w:val="24"/>
                <w:szCs w:val="24"/>
              </w:rPr>
              <w:t>Less: Savings</w:t>
            </w:r>
          </w:p>
        </w:tc>
        <w:tc>
          <w:tcPr>
            <w:tcW w:w="1632" w:type="dxa"/>
            <w:hideMark/>
          </w:tcPr>
          <w:p w14:paraId="1F85FB09" w14:textId="77777777" w:rsidR="000A27AF" w:rsidRPr="00B76F59" w:rsidRDefault="000A27AF" w:rsidP="00BD14BB">
            <w:pPr>
              <w:jc w:val="right"/>
              <w:rPr>
                <w:sz w:val="24"/>
                <w:szCs w:val="24"/>
              </w:rPr>
            </w:pPr>
            <w:r w:rsidRPr="00B76F59">
              <w:rPr>
                <w:color w:val="000000" w:themeColor="dark1"/>
                <w:kern w:val="24"/>
                <w:sz w:val="24"/>
                <w:szCs w:val="24"/>
              </w:rPr>
              <w:t>(3.6)</w:t>
            </w:r>
          </w:p>
        </w:tc>
        <w:tc>
          <w:tcPr>
            <w:tcW w:w="1632" w:type="dxa"/>
          </w:tcPr>
          <w:p w14:paraId="71FC5093" w14:textId="77777777" w:rsidR="000A27AF" w:rsidRPr="00B76F59" w:rsidRDefault="000A27AF" w:rsidP="00BD14BB">
            <w:pPr>
              <w:jc w:val="right"/>
              <w:rPr>
                <w:color w:val="000000" w:themeColor="dark1"/>
                <w:kern w:val="24"/>
                <w:sz w:val="24"/>
                <w:szCs w:val="24"/>
              </w:rPr>
            </w:pPr>
          </w:p>
        </w:tc>
      </w:tr>
      <w:tr w:rsidR="000A27AF" w:rsidRPr="00B76F59" w14:paraId="47E49AB6" w14:textId="77777777" w:rsidTr="00BD14BB">
        <w:trPr>
          <w:trHeight w:val="20"/>
          <w:jc w:val="center"/>
        </w:trPr>
        <w:tc>
          <w:tcPr>
            <w:tcW w:w="4889" w:type="dxa"/>
            <w:hideMark/>
          </w:tcPr>
          <w:p w14:paraId="1BF37672" w14:textId="77777777" w:rsidR="000A27AF" w:rsidRPr="00B76F59" w:rsidRDefault="000A27AF" w:rsidP="00BD14BB">
            <w:pPr>
              <w:rPr>
                <w:b/>
                <w:bCs/>
                <w:sz w:val="24"/>
                <w:szCs w:val="24"/>
              </w:rPr>
            </w:pPr>
            <w:r w:rsidRPr="00B76F59">
              <w:rPr>
                <w:b/>
                <w:bCs/>
                <w:color w:val="000000" w:themeColor="dark1"/>
                <w:kern w:val="24"/>
                <w:sz w:val="24"/>
                <w:szCs w:val="24"/>
              </w:rPr>
              <w:t>Total growth in budget</w:t>
            </w:r>
          </w:p>
        </w:tc>
        <w:tc>
          <w:tcPr>
            <w:tcW w:w="1632" w:type="dxa"/>
            <w:hideMark/>
          </w:tcPr>
          <w:p w14:paraId="6613B6C6" w14:textId="77777777" w:rsidR="000A27AF" w:rsidRPr="00B76F59" w:rsidRDefault="000A27AF" w:rsidP="00BD14BB">
            <w:pPr>
              <w:jc w:val="right"/>
              <w:rPr>
                <w:b/>
                <w:bCs/>
                <w:sz w:val="24"/>
                <w:szCs w:val="24"/>
              </w:rPr>
            </w:pPr>
          </w:p>
        </w:tc>
        <w:tc>
          <w:tcPr>
            <w:tcW w:w="1632" w:type="dxa"/>
          </w:tcPr>
          <w:p w14:paraId="1D57AF16" w14:textId="77777777" w:rsidR="000A27AF" w:rsidRPr="00B76F59" w:rsidRDefault="000A27AF" w:rsidP="00BD14BB">
            <w:pPr>
              <w:jc w:val="right"/>
              <w:rPr>
                <w:b/>
                <w:bCs/>
                <w:sz w:val="24"/>
                <w:szCs w:val="24"/>
              </w:rPr>
            </w:pPr>
            <w:r>
              <w:rPr>
                <w:b/>
                <w:bCs/>
                <w:sz w:val="24"/>
                <w:szCs w:val="24"/>
              </w:rPr>
              <w:t>20.9</w:t>
            </w:r>
          </w:p>
        </w:tc>
      </w:tr>
      <w:tr w:rsidR="000A27AF" w:rsidRPr="00B76F59" w14:paraId="6CFAB541" w14:textId="77777777" w:rsidTr="00BD14BB">
        <w:trPr>
          <w:trHeight w:val="20"/>
          <w:jc w:val="center"/>
        </w:trPr>
        <w:tc>
          <w:tcPr>
            <w:tcW w:w="4889" w:type="dxa"/>
          </w:tcPr>
          <w:p w14:paraId="2810090B" w14:textId="77777777" w:rsidR="000A27AF" w:rsidRPr="00B76F59" w:rsidRDefault="000A27AF" w:rsidP="00BD14BB">
            <w:pPr>
              <w:rPr>
                <w:b/>
                <w:bCs/>
                <w:color w:val="000000" w:themeColor="dark1"/>
                <w:kern w:val="24"/>
                <w:sz w:val="24"/>
                <w:szCs w:val="24"/>
              </w:rPr>
            </w:pPr>
            <w:r w:rsidRPr="00B76F59">
              <w:rPr>
                <w:b/>
                <w:bCs/>
                <w:color w:val="000000" w:themeColor="dark1"/>
                <w:kern w:val="24"/>
                <w:sz w:val="24"/>
                <w:szCs w:val="24"/>
              </w:rPr>
              <w:t>2025/26 Revenue Budget Proposed</w:t>
            </w:r>
          </w:p>
        </w:tc>
        <w:tc>
          <w:tcPr>
            <w:tcW w:w="1632" w:type="dxa"/>
          </w:tcPr>
          <w:p w14:paraId="0A37A512" w14:textId="77777777" w:rsidR="000A27AF" w:rsidRPr="00B76F59" w:rsidRDefault="000A27AF" w:rsidP="00BD14BB">
            <w:pPr>
              <w:jc w:val="right"/>
              <w:rPr>
                <w:b/>
                <w:bCs/>
                <w:sz w:val="24"/>
                <w:szCs w:val="24"/>
              </w:rPr>
            </w:pPr>
          </w:p>
        </w:tc>
        <w:tc>
          <w:tcPr>
            <w:tcW w:w="1632" w:type="dxa"/>
          </w:tcPr>
          <w:p w14:paraId="13C44E40" w14:textId="77777777" w:rsidR="000A27AF" w:rsidRPr="00B76F59" w:rsidRDefault="000A27AF" w:rsidP="00BD14BB">
            <w:pPr>
              <w:jc w:val="right"/>
              <w:rPr>
                <w:b/>
                <w:bCs/>
                <w:sz w:val="24"/>
                <w:szCs w:val="24"/>
              </w:rPr>
            </w:pPr>
            <w:r w:rsidRPr="00B76F59">
              <w:rPr>
                <w:b/>
                <w:bCs/>
                <w:sz w:val="24"/>
                <w:szCs w:val="24"/>
              </w:rPr>
              <w:t>£3</w:t>
            </w:r>
            <w:r>
              <w:rPr>
                <w:b/>
                <w:bCs/>
                <w:sz w:val="24"/>
                <w:szCs w:val="24"/>
              </w:rPr>
              <w:t>30</w:t>
            </w:r>
            <w:r w:rsidRPr="00B76F59">
              <w:rPr>
                <w:b/>
                <w:bCs/>
                <w:sz w:val="24"/>
                <w:szCs w:val="24"/>
              </w:rPr>
              <w:t>.</w:t>
            </w:r>
            <w:r>
              <w:rPr>
                <w:b/>
                <w:bCs/>
                <w:sz w:val="24"/>
                <w:szCs w:val="24"/>
              </w:rPr>
              <w:t>6</w:t>
            </w:r>
          </w:p>
        </w:tc>
      </w:tr>
    </w:tbl>
    <w:p w14:paraId="69086DCE" w14:textId="77777777" w:rsidR="000A27AF" w:rsidRPr="0050145D" w:rsidRDefault="000A27AF" w:rsidP="000A27AF">
      <w:pPr>
        <w:pStyle w:val="NoSpacing"/>
        <w:spacing w:before="120"/>
        <w:jc w:val="both"/>
        <w:rPr>
          <w:rFonts w:ascii="Arial" w:hAnsi="Arial" w:cs="Arial"/>
          <w:b/>
          <w:color w:val="000000"/>
          <w:sz w:val="24"/>
          <w:szCs w:val="24"/>
          <w:highlight w:val="yellow"/>
        </w:rPr>
      </w:pPr>
    </w:p>
    <w:p w14:paraId="036966F5" w14:textId="77777777" w:rsidR="000A27AF" w:rsidRPr="00C0520B" w:rsidRDefault="000A27AF" w:rsidP="000A27AF">
      <w:pPr>
        <w:pStyle w:val="ListParagraph"/>
        <w:numPr>
          <w:ilvl w:val="0"/>
          <w:numId w:val="2"/>
        </w:numPr>
        <w:autoSpaceDE w:val="0"/>
        <w:autoSpaceDN w:val="0"/>
        <w:adjustRightInd w:val="0"/>
        <w:spacing w:after="0" w:line="240" w:lineRule="auto"/>
        <w:rPr>
          <w:rFonts w:ascii="Arial" w:hAnsi="Arial" w:cs="Arial"/>
          <w:b/>
          <w:color w:val="000000"/>
          <w:sz w:val="24"/>
          <w:szCs w:val="24"/>
        </w:rPr>
      </w:pPr>
      <w:r w:rsidRPr="00C0520B">
        <w:rPr>
          <w:rFonts w:ascii="Arial" w:hAnsi="Arial" w:cs="Arial"/>
          <w:bCs/>
          <w:color w:val="000000"/>
          <w:sz w:val="24"/>
          <w:szCs w:val="24"/>
        </w:rPr>
        <w:t xml:space="preserve">The Chief Constable is of the view that he requires a budget of £330.6m to: </w:t>
      </w:r>
    </w:p>
    <w:p w14:paraId="7D9F86CA" w14:textId="77777777" w:rsidR="000A27AF" w:rsidRPr="00C0520B" w:rsidRDefault="000A27AF" w:rsidP="000A27AF">
      <w:pPr>
        <w:pStyle w:val="ListParagraph"/>
        <w:autoSpaceDE w:val="0"/>
        <w:autoSpaceDN w:val="0"/>
        <w:adjustRightInd w:val="0"/>
        <w:spacing w:after="0" w:line="240" w:lineRule="auto"/>
        <w:ind w:left="360"/>
        <w:rPr>
          <w:rFonts w:ascii="Arial" w:hAnsi="Arial" w:cs="Arial"/>
          <w:b/>
          <w:color w:val="000000"/>
          <w:sz w:val="24"/>
          <w:szCs w:val="24"/>
        </w:rPr>
      </w:pPr>
    </w:p>
    <w:p w14:paraId="6C02DFA7" w14:textId="77777777" w:rsidR="000A27AF" w:rsidRPr="00C0520B" w:rsidRDefault="000A27AF" w:rsidP="000A27AF">
      <w:pPr>
        <w:pStyle w:val="ListParagraph"/>
        <w:numPr>
          <w:ilvl w:val="0"/>
          <w:numId w:val="7"/>
        </w:numPr>
        <w:autoSpaceDE w:val="0"/>
        <w:autoSpaceDN w:val="0"/>
        <w:adjustRightInd w:val="0"/>
        <w:spacing w:after="0" w:line="240" w:lineRule="auto"/>
        <w:rPr>
          <w:rFonts w:ascii="Arial" w:hAnsi="Arial" w:cs="Arial"/>
          <w:bCs/>
          <w:color w:val="000000"/>
          <w:sz w:val="24"/>
          <w:szCs w:val="24"/>
        </w:rPr>
      </w:pPr>
      <w:r w:rsidRPr="00C0520B">
        <w:rPr>
          <w:rFonts w:ascii="Arial" w:hAnsi="Arial" w:cs="Arial"/>
          <w:bCs/>
          <w:color w:val="000000"/>
          <w:sz w:val="24"/>
          <w:szCs w:val="24"/>
        </w:rPr>
        <w:t>Meet the requirements of the Strategic Policing Requirement.</w:t>
      </w:r>
    </w:p>
    <w:p w14:paraId="454AF5A4" w14:textId="77777777" w:rsidR="000A27AF" w:rsidRPr="00C0520B" w:rsidRDefault="000A27AF" w:rsidP="000A27AF">
      <w:pPr>
        <w:pStyle w:val="ListParagraph"/>
        <w:numPr>
          <w:ilvl w:val="0"/>
          <w:numId w:val="7"/>
        </w:numPr>
        <w:autoSpaceDE w:val="0"/>
        <w:autoSpaceDN w:val="0"/>
        <w:adjustRightInd w:val="0"/>
        <w:spacing w:after="0" w:line="240" w:lineRule="auto"/>
        <w:rPr>
          <w:rFonts w:ascii="Arial" w:hAnsi="Arial" w:cs="Arial"/>
          <w:bCs/>
          <w:color w:val="000000"/>
          <w:sz w:val="24"/>
          <w:szCs w:val="24"/>
        </w:rPr>
      </w:pPr>
      <w:r w:rsidRPr="00C0520B">
        <w:rPr>
          <w:rFonts w:ascii="Arial" w:hAnsi="Arial" w:cs="Arial"/>
          <w:bCs/>
          <w:color w:val="000000"/>
          <w:sz w:val="24"/>
          <w:szCs w:val="24"/>
        </w:rPr>
        <w:t>Meet the priorities in the PCC’s Police and Crime Plan.</w:t>
      </w:r>
    </w:p>
    <w:p w14:paraId="67BE64AD" w14:textId="77777777" w:rsidR="000A27AF" w:rsidRPr="00C0520B" w:rsidRDefault="000A27AF" w:rsidP="000A27AF">
      <w:pPr>
        <w:pStyle w:val="ListParagraph"/>
        <w:numPr>
          <w:ilvl w:val="0"/>
          <w:numId w:val="7"/>
        </w:numPr>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To maintain and deliver the improvements set out in “</w:t>
      </w:r>
      <w:r w:rsidRPr="00C0520B">
        <w:rPr>
          <w:rFonts w:ascii="Arial" w:hAnsi="Arial" w:cs="Arial"/>
          <w:bCs/>
          <w:color w:val="000000"/>
          <w:sz w:val="24"/>
          <w:szCs w:val="24"/>
        </w:rPr>
        <w:t>Our Plan</w:t>
      </w:r>
      <w:r>
        <w:rPr>
          <w:rFonts w:ascii="Arial" w:hAnsi="Arial" w:cs="Arial"/>
          <w:bCs/>
          <w:color w:val="000000"/>
          <w:sz w:val="24"/>
          <w:szCs w:val="24"/>
        </w:rPr>
        <w:t>”</w:t>
      </w:r>
    </w:p>
    <w:p w14:paraId="0E29215C" w14:textId="77777777" w:rsidR="000A27AF" w:rsidRPr="00C0520B" w:rsidRDefault="000A27AF" w:rsidP="000A27AF">
      <w:pPr>
        <w:pStyle w:val="ListParagraph"/>
        <w:numPr>
          <w:ilvl w:val="0"/>
          <w:numId w:val="7"/>
        </w:numPr>
        <w:autoSpaceDE w:val="0"/>
        <w:autoSpaceDN w:val="0"/>
        <w:adjustRightInd w:val="0"/>
        <w:spacing w:after="0" w:line="240" w:lineRule="auto"/>
        <w:rPr>
          <w:rFonts w:ascii="Arial" w:hAnsi="Arial" w:cs="Arial"/>
          <w:bCs/>
          <w:color w:val="000000"/>
          <w:sz w:val="24"/>
          <w:szCs w:val="24"/>
        </w:rPr>
      </w:pPr>
      <w:r w:rsidRPr="00C0520B">
        <w:rPr>
          <w:rFonts w:ascii="Arial" w:hAnsi="Arial" w:cs="Arial"/>
          <w:bCs/>
          <w:color w:val="000000"/>
          <w:sz w:val="24"/>
          <w:szCs w:val="24"/>
        </w:rPr>
        <w:t>Keep pace with the increasing demands of the Force.</w:t>
      </w:r>
    </w:p>
    <w:p w14:paraId="5AF17819" w14:textId="77777777" w:rsidR="000A27AF" w:rsidRPr="00C0520B" w:rsidRDefault="000A27AF" w:rsidP="000A27AF">
      <w:pPr>
        <w:pStyle w:val="ListParagraph"/>
        <w:numPr>
          <w:ilvl w:val="0"/>
          <w:numId w:val="7"/>
        </w:numPr>
        <w:autoSpaceDE w:val="0"/>
        <w:autoSpaceDN w:val="0"/>
        <w:adjustRightInd w:val="0"/>
        <w:spacing w:after="0" w:line="240" w:lineRule="auto"/>
        <w:rPr>
          <w:rFonts w:ascii="Arial" w:hAnsi="Arial" w:cs="Arial"/>
          <w:bCs/>
          <w:color w:val="000000"/>
          <w:sz w:val="24"/>
          <w:szCs w:val="24"/>
        </w:rPr>
      </w:pPr>
      <w:r w:rsidRPr="00C0520B">
        <w:rPr>
          <w:rFonts w:ascii="Arial" w:hAnsi="Arial" w:cs="Arial"/>
          <w:bCs/>
          <w:color w:val="000000"/>
          <w:sz w:val="24"/>
          <w:szCs w:val="24"/>
        </w:rPr>
        <w:t>To minimise reductions in staffing and operational capabilities</w:t>
      </w:r>
    </w:p>
    <w:p w14:paraId="7C994154" w14:textId="77777777" w:rsidR="000A27AF" w:rsidRPr="0050145D" w:rsidRDefault="000A27AF" w:rsidP="000A27AF">
      <w:pPr>
        <w:autoSpaceDE w:val="0"/>
        <w:autoSpaceDN w:val="0"/>
        <w:adjustRightInd w:val="0"/>
        <w:spacing w:after="0" w:line="240" w:lineRule="auto"/>
        <w:ind w:left="360"/>
        <w:rPr>
          <w:rFonts w:ascii="Arial" w:hAnsi="Arial" w:cs="Arial"/>
          <w:b/>
          <w:color w:val="000000"/>
          <w:sz w:val="24"/>
          <w:szCs w:val="24"/>
          <w:highlight w:val="yellow"/>
        </w:rPr>
      </w:pPr>
    </w:p>
    <w:p w14:paraId="1E6C2316" w14:textId="77777777" w:rsidR="000A27AF" w:rsidRPr="00C423C5" w:rsidRDefault="000A27AF" w:rsidP="000A27AF">
      <w:pPr>
        <w:autoSpaceDE w:val="0"/>
        <w:autoSpaceDN w:val="0"/>
        <w:adjustRightInd w:val="0"/>
        <w:spacing w:after="0" w:line="240" w:lineRule="auto"/>
        <w:ind w:left="360"/>
        <w:rPr>
          <w:rFonts w:ascii="Arial" w:hAnsi="Arial" w:cs="Arial"/>
          <w:b/>
          <w:color w:val="000000"/>
          <w:sz w:val="24"/>
          <w:szCs w:val="24"/>
        </w:rPr>
      </w:pPr>
      <w:r w:rsidRPr="00C423C5">
        <w:rPr>
          <w:rFonts w:ascii="Arial" w:hAnsi="Arial" w:cs="Arial"/>
          <w:b/>
          <w:color w:val="000000"/>
          <w:sz w:val="24"/>
          <w:szCs w:val="24"/>
        </w:rPr>
        <w:t>Efficiency Savings</w:t>
      </w:r>
    </w:p>
    <w:p w14:paraId="358AC84D" w14:textId="77777777" w:rsidR="000A27AF" w:rsidRPr="00C423C5" w:rsidRDefault="000A27AF" w:rsidP="000A27AF">
      <w:pPr>
        <w:pStyle w:val="ListParagraph"/>
        <w:autoSpaceDE w:val="0"/>
        <w:autoSpaceDN w:val="0"/>
        <w:adjustRightInd w:val="0"/>
        <w:spacing w:after="0" w:line="240" w:lineRule="auto"/>
        <w:ind w:left="360"/>
        <w:rPr>
          <w:rFonts w:ascii="Arial" w:hAnsi="Arial" w:cs="Arial"/>
          <w:color w:val="000000"/>
          <w:sz w:val="24"/>
          <w:szCs w:val="24"/>
        </w:rPr>
      </w:pPr>
    </w:p>
    <w:p w14:paraId="28330C7D" w14:textId="77777777" w:rsidR="000A27AF" w:rsidRPr="00C423C5"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C423C5">
        <w:rPr>
          <w:rFonts w:ascii="Arial" w:hAnsi="Arial" w:cs="Arial"/>
          <w:color w:val="000000"/>
          <w:sz w:val="24"/>
          <w:szCs w:val="24"/>
        </w:rPr>
        <w:t xml:space="preserve">Surrey Police has a good track record of delivering savings and has delivered £86m since 2010. </w:t>
      </w:r>
    </w:p>
    <w:p w14:paraId="4972DB12" w14:textId="77777777" w:rsidR="000A27AF" w:rsidRDefault="000A27AF" w:rsidP="000A27AF">
      <w:pPr>
        <w:pStyle w:val="ListParagraph"/>
        <w:autoSpaceDE w:val="0"/>
        <w:autoSpaceDN w:val="0"/>
        <w:adjustRightInd w:val="0"/>
        <w:spacing w:after="0" w:line="240" w:lineRule="auto"/>
        <w:ind w:left="360"/>
        <w:jc w:val="both"/>
        <w:rPr>
          <w:rFonts w:ascii="Arial" w:hAnsi="Arial" w:cs="Arial"/>
          <w:color w:val="000000"/>
          <w:sz w:val="24"/>
          <w:szCs w:val="24"/>
          <w:highlight w:val="yellow"/>
        </w:rPr>
      </w:pPr>
    </w:p>
    <w:p w14:paraId="564B1C34" w14:textId="77777777" w:rsidR="000A27AF" w:rsidRPr="0027390B" w:rsidRDefault="000A27AF" w:rsidP="000A27AF">
      <w:pPr>
        <w:pStyle w:val="ListParagraph"/>
        <w:autoSpaceDE w:val="0"/>
        <w:autoSpaceDN w:val="0"/>
        <w:adjustRightInd w:val="0"/>
        <w:spacing w:after="0" w:line="240" w:lineRule="auto"/>
        <w:ind w:left="360"/>
        <w:rPr>
          <w:rFonts w:ascii="Arial" w:hAnsi="Arial" w:cs="Arial"/>
          <w:bCs/>
          <w:i/>
          <w:iCs/>
          <w:color w:val="000000"/>
          <w:sz w:val="24"/>
          <w:szCs w:val="24"/>
        </w:rPr>
      </w:pPr>
      <w:r w:rsidRPr="00592AD4">
        <w:rPr>
          <w:rFonts w:ascii="Arial" w:hAnsi="Arial" w:cs="Arial"/>
          <w:bCs/>
          <w:color w:val="000000"/>
          <w:sz w:val="24"/>
          <w:szCs w:val="24"/>
        </w:rPr>
        <w:t xml:space="preserve">As part of the settlement, the Minister set out her expectations that “forces raise their ambition on efficiencies and drive forward improvements to productivity while helping us deliver on our mission to create safer streets”. To this end the Government has launched the “Commercial Efficiencies and Collaboration Programme” which forces will be required to participate in. The Home Office </w:t>
      </w:r>
      <w:r w:rsidRPr="00592AD4">
        <w:rPr>
          <w:rFonts w:ascii="Arial" w:hAnsi="Arial" w:cs="Arial"/>
          <w:bCs/>
          <w:color w:val="000000"/>
          <w:sz w:val="24"/>
          <w:szCs w:val="24"/>
        </w:rPr>
        <w:lastRenderedPageBreak/>
        <w:t xml:space="preserve">expect the programme to “unlock immediate cost savings and lay the foundations to deliver hundreds of </w:t>
      </w:r>
      <w:r w:rsidRPr="0027390B">
        <w:rPr>
          <w:rFonts w:ascii="Arial" w:hAnsi="Arial" w:cs="Arial"/>
          <w:bCs/>
          <w:i/>
          <w:iCs/>
          <w:color w:val="000000"/>
          <w:sz w:val="24"/>
          <w:szCs w:val="24"/>
        </w:rPr>
        <w:t xml:space="preserve">millions of pounds of efficiency savings by the end of this Parliament”. </w:t>
      </w:r>
    </w:p>
    <w:p w14:paraId="1A85C87D" w14:textId="77777777" w:rsidR="000A27AF" w:rsidRPr="00592AD4" w:rsidRDefault="000A27AF" w:rsidP="000A27AF">
      <w:pPr>
        <w:pStyle w:val="ListParagraph"/>
        <w:autoSpaceDE w:val="0"/>
        <w:autoSpaceDN w:val="0"/>
        <w:adjustRightInd w:val="0"/>
        <w:spacing w:after="0" w:line="240" w:lineRule="auto"/>
        <w:ind w:left="360"/>
        <w:rPr>
          <w:rFonts w:ascii="Arial" w:hAnsi="Arial" w:cs="Arial"/>
          <w:bCs/>
          <w:color w:val="000000"/>
          <w:sz w:val="24"/>
          <w:szCs w:val="24"/>
        </w:rPr>
      </w:pPr>
    </w:p>
    <w:p w14:paraId="196935D5" w14:textId="77777777" w:rsidR="000A27AF" w:rsidRPr="00592AD4" w:rsidRDefault="000A27AF" w:rsidP="000A27AF">
      <w:pPr>
        <w:pStyle w:val="ListParagraph"/>
        <w:numPr>
          <w:ilvl w:val="0"/>
          <w:numId w:val="2"/>
        </w:numPr>
        <w:autoSpaceDE w:val="0"/>
        <w:autoSpaceDN w:val="0"/>
        <w:adjustRightInd w:val="0"/>
        <w:spacing w:after="0" w:line="240" w:lineRule="auto"/>
        <w:rPr>
          <w:rFonts w:ascii="Arial" w:hAnsi="Arial" w:cs="Arial"/>
          <w:bCs/>
          <w:color w:val="000000"/>
          <w:sz w:val="24"/>
          <w:szCs w:val="24"/>
        </w:rPr>
      </w:pPr>
      <w:r w:rsidRPr="00592AD4">
        <w:rPr>
          <w:rFonts w:ascii="Arial" w:hAnsi="Arial" w:cs="Arial"/>
          <w:bCs/>
          <w:color w:val="000000"/>
          <w:sz w:val="24"/>
          <w:szCs w:val="24"/>
        </w:rPr>
        <w:t>The programme will initially target several priority areas. These include:</w:t>
      </w:r>
    </w:p>
    <w:p w14:paraId="7442FEB9" w14:textId="77777777" w:rsidR="000A27AF" w:rsidRPr="00592AD4" w:rsidRDefault="000A27AF" w:rsidP="000A27AF">
      <w:pPr>
        <w:pStyle w:val="ListParagraph"/>
        <w:autoSpaceDE w:val="0"/>
        <w:autoSpaceDN w:val="0"/>
        <w:adjustRightInd w:val="0"/>
        <w:spacing w:after="0" w:line="240" w:lineRule="auto"/>
        <w:ind w:left="360"/>
        <w:rPr>
          <w:rFonts w:ascii="Arial" w:hAnsi="Arial" w:cs="Arial"/>
          <w:bCs/>
          <w:color w:val="000000"/>
          <w:sz w:val="24"/>
          <w:szCs w:val="24"/>
        </w:rPr>
      </w:pPr>
    </w:p>
    <w:p w14:paraId="4932F0F3" w14:textId="77777777" w:rsidR="000A27AF" w:rsidRPr="00592AD4" w:rsidRDefault="000A27AF" w:rsidP="000A27AF">
      <w:pPr>
        <w:pStyle w:val="ListParagraph"/>
        <w:numPr>
          <w:ilvl w:val="0"/>
          <w:numId w:val="14"/>
        </w:numPr>
        <w:autoSpaceDE w:val="0"/>
        <w:autoSpaceDN w:val="0"/>
        <w:adjustRightInd w:val="0"/>
        <w:spacing w:after="0" w:line="240" w:lineRule="auto"/>
        <w:rPr>
          <w:rFonts w:ascii="Arial" w:hAnsi="Arial" w:cs="Arial"/>
          <w:bCs/>
          <w:color w:val="000000"/>
          <w:sz w:val="24"/>
          <w:szCs w:val="24"/>
        </w:rPr>
      </w:pPr>
      <w:r w:rsidRPr="00592AD4">
        <w:rPr>
          <w:rFonts w:ascii="Arial" w:hAnsi="Arial" w:cs="Arial"/>
          <w:bCs/>
          <w:color w:val="000000"/>
          <w:sz w:val="24"/>
          <w:szCs w:val="24"/>
        </w:rPr>
        <w:t>Fleet – Require better use of existing frameworks and working with policing to standardise requirements enabling better value and reducing full life costs.</w:t>
      </w:r>
    </w:p>
    <w:p w14:paraId="425269ED" w14:textId="77777777" w:rsidR="000A27AF" w:rsidRPr="00592AD4" w:rsidRDefault="000A27AF" w:rsidP="000A27AF">
      <w:pPr>
        <w:pStyle w:val="ListParagraph"/>
        <w:numPr>
          <w:ilvl w:val="0"/>
          <w:numId w:val="14"/>
        </w:numPr>
        <w:autoSpaceDE w:val="0"/>
        <w:autoSpaceDN w:val="0"/>
        <w:adjustRightInd w:val="0"/>
        <w:spacing w:after="0" w:line="240" w:lineRule="auto"/>
        <w:rPr>
          <w:rFonts w:ascii="Arial" w:hAnsi="Arial" w:cs="Arial"/>
          <w:bCs/>
          <w:color w:val="000000"/>
          <w:sz w:val="24"/>
          <w:szCs w:val="24"/>
        </w:rPr>
      </w:pPr>
      <w:r w:rsidRPr="00592AD4">
        <w:rPr>
          <w:rFonts w:ascii="Arial" w:hAnsi="Arial" w:cs="Arial"/>
          <w:bCs/>
          <w:color w:val="000000"/>
          <w:sz w:val="24"/>
          <w:szCs w:val="24"/>
        </w:rPr>
        <w:t>Energy - working with the sector to ensure policing can harness wider purchasing power across government and wider public sector.</w:t>
      </w:r>
    </w:p>
    <w:p w14:paraId="6EB68628" w14:textId="77777777" w:rsidR="000A27AF" w:rsidRPr="0027390B" w:rsidRDefault="000A27AF" w:rsidP="000A27AF">
      <w:pPr>
        <w:pStyle w:val="ListParagraph"/>
        <w:numPr>
          <w:ilvl w:val="0"/>
          <w:numId w:val="14"/>
        </w:numPr>
        <w:autoSpaceDE w:val="0"/>
        <w:autoSpaceDN w:val="0"/>
        <w:adjustRightInd w:val="0"/>
        <w:spacing w:after="0" w:line="240" w:lineRule="auto"/>
        <w:rPr>
          <w:rFonts w:ascii="Arial" w:hAnsi="Arial" w:cs="Arial"/>
          <w:bCs/>
          <w:color w:val="000000"/>
          <w:sz w:val="24"/>
          <w:szCs w:val="24"/>
        </w:rPr>
      </w:pPr>
      <w:r w:rsidRPr="00592AD4">
        <w:rPr>
          <w:rFonts w:ascii="Arial" w:hAnsi="Arial" w:cs="Arial"/>
          <w:bCs/>
          <w:color w:val="000000"/>
          <w:sz w:val="24"/>
          <w:szCs w:val="24"/>
        </w:rPr>
        <w:t>ICT - ending the variation in prices for software contracts and then moving to smarter purchasing in other areas of technology.</w:t>
      </w:r>
    </w:p>
    <w:p w14:paraId="6B459D4C" w14:textId="77777777" w:rsidR="000A27AF" w:rsidRPr="0050145D" w:rsidRDefault="000A27AF" w:rsidP="000A27AF">
      <w:pPr>
        <w:pStyle w:val="ListParagraph"/>
        <w:autoSpaceDE w:val="0"/>
        <w:autoSpaceDN w:val="0"/>
        <w:adjustRightInd w:val="0"/>
        <w:spacing w:after="0" w:line="240" w:lineRule="auto"/>
        <w:ind w:left="360"/>
        <w:jc w:val="both"/>
        <w:rPr>
          <w:rFonts w:ascii="Arial" w:hAnsi="Arial" w:cs="Arial"/>
          <w:color w:val="000000"/>
          <w:sz w:val="24"/>
          <w:szCs w:val="24"/>
          <w:highlight w:val="yellow"/>
        </w:rPr>
      </w:pPr>
    </w:p>
    <w:p w14:paraId="68B054AF" w14:textId="77777777" w:rsidR="000A27AF" w:rsidRPr="00C423C5"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C423C5">
        <w:rPr>
          <w:rFonts w:ascii="Arial" w:hAnsi="Arial" w:cs="Arial"/>
          <w:color w:val="000000"/>
          <w:sz w:val="24"/>
          <w:szCs w:val="24"/>
        </w:rPr>
        <w:t xml:space="preserve">There is a legal requirement for the budget to be balanced and the original budget for 2025/26 needed £3.6m of savings to fulfil this. £1.4m of this relates to savings brought forward from 2024/25 and the remainder will be found in restructuring and shift changes. As in last year even once the savings for 2025/26 have been delivered work will continue to identify further savings to apply against the 2026/27 requirement. </w:t>
      </w:r>
    </w:p>
    <w:p w14:paraId="4FADA2F4" w14:textId="77777777" w:rsidR="000A27AF" w:rsidRPr="00C423C5" w:rsidRDefault="000A27AF" w:rsidP="000A27AF">
      <w:pPr>
        <w:pStyle w:val="ListParagraph"/>
        <w:rPr>
          <w:rFonts w:ascii="Arial" w:hAnsi="Arial" w:cs="Arial"/>
          <w:color w:val="000000"/>
          <w:sz w:val="24"/>
          <w:szCs w:val="24"/>
        </w:rPr>
      </w:pPr>
    </w:p>
    <w:p w14:paraId="53513B43" w14:textId="77777777" w:rsidR="000A27AF" w:rsidRPr="00C423C5" w:rsidRDefault="000A27AF" w:rsidP="000A27AF">
      <w:pPr>
        <w:pStyle w:val="ListParagraph"/>
        <w:numPr>
          <w:ilvl w:val="0"/>
          <w:numId w:val="2"/>
        </w:numPr>
        <w:autoSpaceDE w:val="0"/>
        <w:autoSpaceDN w:val="0"/>
        <w:adjustRightInd w:val="0"/>
        <w:spacing w:after="0" w:line="240" w:lineRule="auto"/>
        <w:jc w:val="both"/>
        <w:rPr>
          <w:rFonts w:ascii="Arial" w:hAnsi="Arial" w:cs="Arial"/>
          <w:sz w:val="24"/>
          <w:szCs w:val="24"/>
        </w:rPr>
      </w:pPr>
      <w:r w:rsidRPr="00C423C5">
        <w:rPr>
          <w:rFonts w:ascii="Arial" w:hAnsi="Arial" w:cs="Arial"/>
          <w:color w:val="000000"/>
          <w:sz w:val="24"/>
          <w:szCs w:val="24"/>
        </w:rPr>
        <w:t>The achievement of savings is reported on regularly to the PCC as part of her Performance meetings with the Chief Constable.</w:t>
      </w:r>
    </w:p>
    <w:p w14:paraId="6E5B6443" w14:textId="77777777" w:rsidR="000A27AF" w:rsidRPr="00C423C5" w:rsidRDefault="000A27AF" w:rsidP="000A27AF">
      <w:pPr>
        <w:pStyle w:val="ListParagraph"/>
        <w:autoSpaceDE w:val="0"/>
        <w:autoSpaceDN w:val="0"/>
        <w:adjustRightInd w:val="0"/>
        <w:spacing w:after="0" w:line="240" w:lineRule="auto"/>
        <w:ind w:left="360"/>
        <w:jc w:val="both"/>
        <w:rPr>
          <w:rFonts w:ascii="Arial" w:hAnsi="Arial" w:cs="Arial"/>
          <w:sz w:val="24"/>
          <w:szCs w:val="24"/>
        </w:rPr>
      </w:pPr>
    </w:p>
    <w:p w14:paraId="43223FE6" w14:textId="77777777" w:rsidR="000A27AF" w:rsidRPr="00F800AD" w:rsidRDefault="000A27AF" w:rsidP="000A27AF">
      <w:pPr>
        <w:pStyle w:val="NoSpacing"/>
        <w:spacing w:before="120"/>
        <w:ind w:left="360"/>
        <w:jc w:val="both"/>
        <w:rPr>
          <w:rFonts w:ascii="Arial" w:hAnsi="Arial" w:cs="Arial"/>
          <w:b/>
          <w:color w:val="000000"/>
          <w:sz w:val="24"/>
          <w:szCs w:val="24"/>
        </w:rPr>
      </w:pPr>
      <w:r w:rsidRPr="00F800AD">
        <w:rPr>
          <w:rFonts w:ascii="Arial" w:hAnsi="Arial" w:cs="Arial"/>
          <w:b/>
          <w:color w:val="000000"/>
          <w:sz w:val="24"/>
          <w:szCs w:val="24"/>
        </w:rPr>
        <w:t xml:space="preserve">Council Tax 2025/26 </w:t>
      </w:r>
    </w:p>
    <w:p w14:paraId="13FA2137" w14:textId="77777777" w:rsidR="000A27AF" w:rsidRPr="00F800AD" w:rsidRDefault="000A27AF" w:rsidP="000A27AF">
      <w:pPr>
        <w:autoSpaceDE w:val="0"/>
        <w:autoSpaceDN w:val="0"/>
        <w:adjustRightInd w:val="0"/>
        <w:spacing w:after="0" w:line="240" w:lineRule="auto"/>
        <w:rPr>
          <w:rFonts w:ascii="Verdana" w:hAnsi="Verdana" w:cs="Verdana"/>
          <w:color w:val="000000"/>
          <w:sz w:val="23"/>
          <w:szCs w:val="23"/>
        </w:rPr>
      </w:pPr>
    </w:p>
    <w:p w14:paraId="7DD8F978" w14:textId="77777777" w:rsidR="000A27AF" w:rsidRPr="00F800AD" w:rsidRDefault="000A27AF" w:rsidP="000A27AF">
      <w:pPr>
        <w:pStyle w:val="NoSpacing"/>
        <w:numPr>
          <w:ilvl w:val="0"/>
          <w:numId w:val="2"/>
        </w:numPr>
        <w:spacing w:before="120"/>
        <w:jc w:val="both"/>
        <w:rPr>
          <w:rFonts w:ascii="Arial" w:hAnsi="Arial" w:cs="Arial"/>
          <w:color w:val="000000"/>
          <w:sz w:val="24"/>
          <w:szCs w:val="24"/>
        </w:rPr>
      </w:pPr>
      <w:r w:rsidRPr="00F800AD">
        <w:rPr>
          <w:rFonts w:ascii="Arial" w:hAnsi="Arial" w:cs="Arial"/>
          <w:color w:val="000000"/>
          <w:sz w:val="24"/>
          <w:szCs w:val="24"/>
        </w:rPr>
        <w:t>The Localism Act 2011 introduced a power for the Secretary of State for Communities and Local Government to issue principles that define what should be considered excessive Council Tax and to propose limits. From 2013 onwards, any PCC that wishes to raise the council tax above the limits set by the Secretary of State will have to hold a referendum.</w:t>
      </w:r>
    </w:p>
    <w:p w14:paraId="07E75D2B" w14:textId="77777777" w:rsidR="000A27AF" w:rsidRPr="00F800AD" w:rsidRDefault="000A27AF" w:rsidP="000A27AF">
      <w:pPr>
        <w:pStyle w:val="NoSpacing"/>
        <w:numPr>
          <w:ilvl w:val="0"/>
          <w:numId w:val="2"/>
        </w:numPr>
        <w:spacing w:before="120"/>
        <w:jc w:val="both"/>
        <w:rPr>
          <w:rFonts w:ascii="Arial" w:hAnsi="Arial" w:cs="Arial"/>
          <w:color w:val="000000"/>
          <w:sz w:val="24"/>
          <w:szCs w:val="24"/>
        </w:rPr>
      </w:pPr>
      <w:r w:rsidRPr="00F800AD">
        <w:rPr>
          <w:rFonts w:ascii="Arial" w:hAnsi="Arial" w:cs="Arial"/>
          <w:color w:val="000000"/>
          <w:sz w:val="24"/>
          <w:szCs w:val="24"/>
        </w:rPr>
        <w:t xml:space="preserve">As part of the autumn statement the referendum limit was set by the Government at £14 giving a Band D Council Tax as set out below: </w:t>
      </w:r>
    </w:p>
    <w:p w14:paraId="51EDF5BD" w14:textId="77777777" w:rsidR="000A27AF" w:rsidRPr="00F800AD" w:rsidRDefault="000A27AF" w:rsidP="000A27AF">
      <w:pPr>
        <w:pStyle w:val="NoSpacing"/>
        <w:spacing w:before="120"/>
        <w:ind w:left="360"/>
        <w:jc w:val="both"/>
        <w:rPr>
          <w:rFonts w:ascii="Arial" w:hAnsi="Arial" w:cs="Arial"/>
          <w:color w:val="000000"/>
          <w:sz w:val="24"/>
          <w:szCs w:val="24"/>
        </w:rPr>
      </w:pPr>
      <w:r w:rsidRPr="00F800AD">
        <w:rPr>
          <w:rFonts w:ascii="Arial" w:hAnsi="Arial" w:cs="Arial"/>
          <w:color w:val="000000"/>
          <w:sz w:val="24"/>
          <w:szCs w:val="24"/>
        </w:rPr>
        <w:t xml:space="preserve"> </w:t>
      </w:r>
    </w:p>
    <w:tbl>
      <w:tblPr>
        <w:tblStyle w:val="TableGrid"/>
        <w:tblW w:w="0" w:type="auto"/>
        <w:tblInd w:w="1555" w:type="dxa"/>
        <w:tblLook w:val="04A0" w:firstRow="1" w:lastRow="0" w:firstColumn="1" w:lastColumn="0" w:noHBand="0" w:noVBand="1"/>
      </w:tblPr>
      <w:tblGrid>
        <w:gridCol w:w="1579"/>
        <w:gridCol w:w="1579"/>
        <w:gridCol w:w="1579"/>
        <w:gridCol w:w="1580"/>
      </w:tblGrid>
      <w:tr w:rsidR="000A27AF" w:rsidRPr="00F800AD" w14:paraId="7838669A" w14:textId="77777777" w:rsidTr="00BD14BB">
        <w:tc>
          <w:tcPr>
            <w:tcW w:w="1579" w:type="dxa"/>
          </w:tcPr>
          <w:p w14:paraId="30F93990" w14:textId="77777777" w:rsidR="000A27AF" w:rsidRPr="00F800AD" w:rsidRDefault="000A27AF" w:rsidP="00BD14BB">
            <w:pPr>
              <w:jc w:val="center"/>
              <w:rPr>
                <w:b/>
                <w:color w:val="000000"/>
                <w:sz w:val="24"/>
                <w:szCs w:val="24"/>
              </w:rPr>
            </w:pPr>
            <w:r w:rsidRPr="00F800AD">
              <w:rPr>
                <w:b/>
                <w:color w:val="000000"/>
                <w:sz w:val="24"/>
                <w:szCs w:val="24"/>
              </w:rPr>
              <w:t>Year</w:t>
            </w:r>
          </w:p>
        </w:tc>
        <w:tc>
          <w:tcPr>
            <w:tcW w:w="1579" w:type="dxa"/>
          </w:tcPr>
          <w:p w14:paraId="64222459" w14:textId="77777777" w:rsidR="000A27AF" w:rsidRPr="00F800AD" w:rsidRDefault="000A27AF" w:rsidP="00BD14BB">
            <w:pPr>
              <w:jc w:val="center"/>
              <w:rPr>
                <w:b/>
                <w:color w:val="000000"/>
                <w:sz w:val="24"/>
                <w:szCs w:val="24"/>
              </w:rPr>
            </w:pPr>
            <w:r w:rsidRPr="00F800AD">
              <w:rPr>
                <w:b/>
                <w:color w:val="000000"/>
                <w:sz w:val="24"/>
                <w:szCs w:val="24"/>
              </w:rPr>
              <w:t>Band D Council Tax</w:t>
            </w:r>
          </w:p>
        </w:tc>
        <w:tc>
          <w:tcPr>
            <w:tcW w:w="1579" w:type="dxa"/>
          </w:tcPr>
          <w:p w14:paraId="0CD95EC6" w14:textId="77777777" w:rsidR="000A27AF" w:rsidRPr="00F800AD" w:rsidRDefault="000A27AF" w:rsidP="00BD14BB">
            <w:pPr>
              <w:jc w:val="center"/>
              <w:rPr>
                <w:b/>
                <w:color w:val="000000"/>
                <w:sz w:val="24"/>
                <w:szCs w:val="24"/>
              </w:rPr>
            </w:pPr>
            <w:r w:rsidRPr="00F800AD">
              <w:rPr>
                <w:b/>
                <w:color w:val="000000"/>
                <w:sz w:val="24"/>
                <w:szCs w:val="24"/>
              </w:rPr>
              <w:t>Change £</w:t>
            </w:r>
          </w:p>
        </w:tc>
        <w:tc>
          <w:tcPr>
            <w:tcW w:w="1580" w:type="dxa"/>
          </w:tcPr>
          <w:p w14:paraId="0A158FC0" w14:textId="77777777" w:rsidR="000A27AF" w:rsidRPr="00F800AD" w:rsidRDefault="000A27AF" w:rsidP="00BD14BB">
            <w:pPr>
              <w:jc w:val="center"/>
              <w:rPr>
                <w:b/>
                <w:color w:val="000000"/>
                <w:sz w:val="24"/>
                <w:szCs w:val="24"/>
              </w:rPr>
            </w:pPr>
            <w:r w:rsidRPr="00F800AD">
              <w:rPr>
                <w:b/>
                <w:color w:val="000000"/>
                <w:sz w:val="24"/>
                <w:szCs w:val="24"/>
              </w:rPr>
              <w:t>Change %</w:t>
            </w:r>
          </w:p>
        </w:tc>
      </w:tr>
      <w:tr w:rsidR="000A27AF" w:rsidRPr="0050145D" w14:paraId="2FDB34AA" w14:textId="77777777" w:rsidTr="00BD14BB">
        <w:tc>
          <w:tcPr>
            <w:tcW w:w="1579" w:type="dxa"/>
          </w:tcPr>
          <w:p w14:paraId="26C52872" w14:textId="77777777" w:rsidR="000A27AF" w:rsidRPr="00F800AD" w:rsidRDefault="000A27AF" w:rsidP="00BD14BB">
            <w:pPr>
              <w:jc w:val="center"/>
              <w:rPr>
                <w:color w:val="000000"/>
                <w:sz w:val="24"/>
                <w:szCs w:val="24"/>
              </w:rPr>
            </w:pPr>
            <w:r w:rsidRPr="00F800AD">
              <w:rPr>
                <w:color w:val="000000"/>
                <w:sz w:val="24"/>
                <w:szCs w:val="24"/>
              </w:rPr>
              <w:t>2025/26</w:t>
            </w:r>
          </w:p>
        </w:tc>
        <w:tc>
          <w:tcPr>
            <w:tcW w:w="1579" w:type="dxa"/>
          </w:tcPr>
          <w:p w14:paraId="74AD52AF" w14:textId="77777777" w:rsidR="000A27AF" w:rsidRPr="00F800AD" w:rsidRDefault="000A27AF" w:rsidP="00BD14BB">
            <w:pPr>
              <w:jc w:val="center"/>
              <w:rPr>
                <w:color w:val="000000"/>
                <w:sz w:val="24"/>
                <w:szCs w:val="24"/>
              </w:rPr>
            </w:pPr>
            <w:r w:rsidRPr="00F800AD">
              <w:rPr>
                <w:color w:val="000000"/>
                <w:sz w:val="24"/>
                <w:szCs w:val="24"/>
              </w:rPr>
              <w:t>£337.57</w:t>
            </w:r>
          </w:p>
        </w:tc>
        <w:tc>
          <w:tcPr>
            <w:tcW w:w="1579" w:type="dxa"/>
          </w:tcPr>
          <w:p w14:paraId="384A0966" w14:textId="77777777" w:rsidR="000A27AF" w:rsidRPr="00F800AD" w:rsidRDefault="000A27AF" w:rsidP="00BD14BB">
            <w:pPr>
              <w:jc w:val="center"/>
              <w:rPr>
                <w:color w:val="000000"/>
                <w:sz w:val="24"/>
                <w:szCs w:val="24"/>
              </w:rPr>
            </w:pPr>
            <w:r w:rsidRPr="00F800AD">
              <w:rPr>
                <w:color w:val="000000"/>
                <w:sz w:val="24"/>
                <w:szCs w:val="24"/>
              </w:rPr>
              <w:t>£14.00</w:t>
            </w:r>
          </w:p>
        </w:tc>
        <w:tc>
          <w:tcPr>
            <w:tcW w:w="1580" w:type="dxa"/>
          </w:tcPr>
          <w:p w14:paraId="0B57516B" w14:textId="77777777" w:rsidR="000A27AF" w:rsidRPr="00F800AD" w:rsidRDefault="000A27AF" w:rsidP="00BD14BB">
            <w:pPr>
              <w:jc w:val="center"/>
              <w:rPr>
                <w:color w:val="000000"/>
                <w:sz w:val="24"/>
                <w:szCs w:val="24"/>
              </w:rPr>
            </w:pPr>
            <w:r w:rsidRPr="00F800AD">
              <w:rPr>
                <w:color w:val="000000"/>
                <w:sz w:val="24"/>
                <w:szCs w:val="24"/>
              </w:rPr>
              <w:t>4.3%</w:t>
            </w:r>
          </w:p>
        </w:tc>
      </w:tr>
    </w:tbl>
    <w:p w14:paraId="0780197B" w14:textId="77777777" w:rsidR="000A27AF" w:rsidRPr="00B1029C" w:rsidRDefault="000A27AF" w:rsidP="000A27AF">
      <w:pPr>
        <w:rPr>
          <w:rFonts w:ascii="Arial" w:hAnsi="Arial" w:cs="Arial"/>
          <w:color w:val="000000"/>
          <w:sz w:val="24"/>
          <w:szCs w:val="24"/>
        </w:rPr>
      </w:pPr>
    </w:p>
    <w:p w14:paraId="585E2E3E" w14:textId="77777777" w:rsidR="000A27AF" w:rsidRPr="00341BCD" w:rsidRDefault="000A27AF" w:rsidP="000A27AF">
      <w:pPr>
        <w:pStyle w:val="NoSpacing"/>
        <w:numPr>
          <w:ilvl w:val="0"/>
          <w:numId w:val="2"/>
        </w:numPr>
        <w:spacing w:before="120"/>
        <w:jc w:val="both"/>
        <w:rPr>
          <w:rFonts w:ascii="Arial" w:hAnsi="Arial" w:cs="Arial"/>
          <w:color w:val="000000"/>
          <w:sz w:val="24"/>
          <w:szCs w:val="24"/>
        </w:rPr>
      </w:pPr>
      <w:r w:rsidRPr="00B1029C">
        <w:rPr>
          <w:rFonts w:ascii="Arial" w:hAnsi="Arial" w:cs="Arial"/>
          <w:color w:val="000000"/>
          <w:sz w:val="24"/>
          <w:szCs w:val="24"/>
        </w:rPr>
        <w:t xml:space="preserve">In accordance with legislation the PCC proposal to increase the Council Tax precept by £14 was considered by the Police and Crime Panel on 3rd February 2025. The full report can be found on their website. The panel rejected the increase on the Chair’s casting vote – however this was not enough to veto the increase. The rejection was mainly because the panel was concerned that Surrey residents were being asked to provide funding which should be provided by </w:t>
      </w:r>
      <w:proofErr w:type="gramStart"/>
      <w:r w:rsidRPr="00B1029C">
        <w:rPr>
          <w:rFonts w:ascii="Arial" w:hAnsi="Arial" w:cs="Arial"/>
          <w:color w:val="000000"/>
          <w:sz w:val="24"/>
          <w:szCs w:val="24"/>
        </w:rPr>
        <w:t>Government</w:t>
      </w:r>
      <w:proofErr w:type="gramEnd"/>
      <w:r w:rsidRPr="00B1029C">
        <w:rPr>
          <w:rFonts w:ascii="Arial" w:hAnsi="Arial" w:cs="Arial"/>
          <w:color w:val="000000"/>
          <w:sz w:val="24"/>
          <w:szCs w:val="24"/>
        </w:rPr>
        <w:t xml:space="preserve"> and they were worried about the impact of an increase on some residents. </w:t>
      </w:r>
    </w:p>
    <w:p w14:paraId="3020E0F5" w14:textId="77777777" w:rsidR="000A27AF" w:rsidRPr="00341BCD" w:rsidRDefault="000A27AF" w:rsidP="000A27AF">
      <w:pPr>
        <w:pStyle w:val="NoSpacing"/>
        <w:numPr>
          <w:ilvl w:val="0"/>
          <w:numId w:val="2"/>
        </w:numPr>
        <w:spacing w:before="120"/>
        <w:jc w:val="both"/>
        <w:rPr>
          <w:rFonts w:ascii="Arial" w:hAnsi="Arial" w:cs="Arial"/>
          <w:color w:val="000000"/>
          <w:sz w:val="24"/>
          <w:szCs w:val="24"/>
        </w:rPr>
      </w:pPr>
      <w:r w:rsidRPr="00341BCD">
        <w:rPr>
          <w:rFonts w:ascii="Arial" w:hAnsi="Arial" w:cs="Arial"/>
          <w:color w:val="000000"/>
          <w:sz w:val="24"/>
          <w:szCs w:val="24"/>
        </w:rPr>
        <w:lastRenderedPageBreak/>
        <w:t xml:space="preserve">The increase in percentage terms is above the current rate of inflation but below the increase agreed by Surrey County Council and most other Police areas. </w:t>
      </w:r>
    </w:p>
    <w:p w14:paraId="7862E813" w14:textId="77777777" w:rsidR="000A27AF" w:rsidRPr="00341BCD" w:rsidRDefault="000A27AF" w:rsidP="000A27AF">
      <w:pPr>
        <w:pStyle w:val="NoSpacing"/>
        <w:numPr>
          <w:ilvl w:val="0"/>
          <w:numId w:val="2"/>
        </w:numPr>
        <w:spacing w:before="120"/>
        <w:jc w:val="both"/>
        <w:rPr>
          <w:rFonts w:ascii="Arial" w:hAnsi="Arial" w:cs="Arial"/>
          <w:color w:val="000000"/>
          <w:sz w:val="24"/>
          <w:szCs w:val="24"/>
        </w:rPr>
      </w:pPr>
      <w:r w:rsidRPr="00341BCD">
        <w:rPr>
          <w:rFonts w:ascii="Arial" w:hAnsi="Arial" w:cs="Arial"/>
          <w:color w:val="000000"/>
          <w:sz w:val="24"/>
          <w:szCs w:val="24"/>
        </w:rPr>
        <w:t>Billing Authorities have advised that the Council tax base for 2025/26 has increased to 52</w:t>
      </w:r>
      <w:r>
        <w:rPr>
          <w:rFonts w:ascii="Arial" w:hAnsi="Arial" w:cs="Arial"/>
          <w:color w:val="000000"/>
          <w:sz w:val="24"/>
          <w:szCs w:val="24"/>
        </w:rPr>
        <w:t>6,600</w:t>
      </w:r>
      <w:r w:rsidRPr="00341BCD">
        <w:rPr>
          <w:rFonts w:ascii="Arial" w:hAnsi="Arial" w:cs="Arial"/>
          <w:color w:val="000000"/>
          <w:sz w:val="24"/>
          <w:szCs w:val="24"/>
        </w:rPr>
        <w:t xml:space="preserve"> Band D equivalent </w:t>
      </w:r>
      <w:r>
        <w:rPr>
          <w:rFonts w:ascii="Arial" w:hAnsi="Arial" w:cs="Arial"/>
          <w:color w:val="000000"/>
          <w:sz w:val="24"/>
          <w:szCs w:val="24"/>
        </w:rPr>
        <w:t xml:space="preserve">due to housebuilding </w:t>
      </w:r>
      <w:r w:rsidRPr="00341BCD">
        <w:rPr>
          <w:rFonts w:ascii="Arial" w:hAnsi="Arial" w:cs="Arial"/>
          <w:color w:val="000000"/>
          <w:sz w:val="24"/>
          <w:szCs w:val="24"/>
        </w:rPr>
        <w:t xml:space="preserve">and </w:t>
      </w:r>
      <w:proofErr w:type="gramStart"/>
      <w:r w:rsidRPr="00341BCD">
        <w:rPr>
          <w:rFonts w:ascii="Arial" w:hAnsi="Arial" w:cs="Arial"/>
          <w:color w:val="000000"/>
          <w:sz w:val="24"/>
          <w:szCs w:val="24"/>
        </w:rPr>
        <w:t>overall</w:t>
      </w:r>
      <w:proofErr w:type="gramEnd"/>
      <w:r w:rsidRPr="00341BCD">
        <w:rPr>
          <w:rFonts w:ascii="Arial" w:hAnsi="Arial" w:cs="Arial"/>
          <w:color w:val="000000"/>
          <w:sz w:val="24"/>
          <w:szCs w:val="24"/>
        </w:rPr>
        <w:t xml:space="preserve"> the collection funds are </w:t>
      </w:r>
      <w:r>
        <w:rPr>
          <w:rFonts w:ascii="Arial" w:hAnsi="Arial" w:cs="Arial"/>
          <w:color w:val="000000"/>
          <w:sz w:val="24"/>
          <w:szCs w:val="24"/>
        </w:rPr>
        <w:t xml:space="preserve">£2.6m </w:t>
      </w:r>
      <w:r w:rsidRPr="00341BCD">
        <w:rPr>
          <w:rFonts w:ascii="Arial" w:hAnsi="Arial" w:cs="Arial"/>
          <w:color w:val="000000"/>
          <w:sz w:val="24"/>
          <w:szCs w:val="24"/>
        </w:rPr>
        <w:t xml:space="preserve">in surplus.  </w:t>
      </w:r>
    </w:p>
    <w:p w14:paraId="056E0F47" w14:textId="77777777" w:rsidR="000A27AF" w:rsidRPr="0050145D" w:rsidRDefault="000A27AF" w:rsidP="000A27AF">
      <w:pPr>
        <w:pStyle w:val="ListParagraph"/>
        <w:ind w:left="360"/>
        <w:jc w:val="both"/>
        <w:rPr>
          <w:rFonts w:ascii="Arial" w:hAnsi="Arial" w:cs="Arial"/>
          <w:color w:val="000000"/>
          <w:sz w:val="24"/>
          <w:szCs w:val="24"/>
          <w:highlight w:val="yellow"/>
        </w:rPr>
      </w:pPr>
    </w:p>
    <w:p w14:paraId="6A4CB955" w14:textId="77777777" w:rsidR="000A27AF" w:rsidRPr="00CE2D16" w:rsidRDefault="000A27AF" w:rsidP="000A27AF">
      <w:pPr>
        <w:pStyle w:val="ListParagraph"/>
        <w:numPr>
          <w:ilvl w:val="0"/>
          <w:numId w:val="2"/>
        </w:numPr>
        <w:jc w:val="both"/>
        <w:rPr>
          <w:rFonts w:ascii="Arial" w:hAnsi="Arial" w:cs="Arial"/>
          <w:color w:val="000000"/>
          <w:sz w:val="24"/>
          <w:szCs w:val="24"/>
        </w:rPr>
      </w:pPr>
      <w:r w:rsidRPr="00CE2D16">
        <w:rPr>
          <w:rFonts w:ascii="Arial" w:hAnsi="Arial" w:cs="Arial"/>
          <w:color w:val="000000"/>
          <w:sz w:val="24"/>
          <w:szCs w:val="24"/>
        </w:rPr>
        <w:t>The increase in the Band D precept of £13 coupled with the tax base increase will raise an additional will raise an additional £8.8m in 2025/26 which is reflected in the budget.</w:t>
      </w:r>
    </w:p>
    <w:p w14:paraId="1C6EE7F8" w14:textId="77777777" w:rsidR="000A27AF" w:rsidRPr="00CE2D16" w:rsidRDefault="000A27AF" w:rsidP="000A27AF">
      <w:pPr>
        <w:pStyle w:val="ListParagraph"/>
        <w:ind w:left="360"/>
        <w:jc w:val="both"/>
        <w:rPr>
          <w:rFonts w:ascii="Arial" w:hAnsi="Arial" w:cs="Arial"/>
          <w:color w:val="000000"/>
          <w:sz w:val="24"/>
          <w:szCs w:val="24"/>
        </w:rPr>
      </w:pPr>
    </w:p>
    <w:p w14:paraId="65C5D2C2" w14:textId="77777777" w:rsidR="000A27AF" w:rsidRPr="00CE2D16" w:rsidRDefault="000A27AF" w:rsidP="000A27AF">
      <w:pPr>
        <w:pStyle w:val="ListParagraph"/>
        <w:numPr>
          <w:ilvl w:val="0"/>
          <w:numId w:val="2"/>
        </w:numPr>
        <w:jc w:val="both"/>
        <w:rPr>
          <w:rFonts w:ascii="Arial" w:hAnsi="Arial" w:cs="Arial"/>
          <w:color w:val="000000"/>
          <w:sz w:val="24"/>
          <w:szCs w:val="24"/>
        </w:rPr>
      </w:pPr>
      <w:r w:rsidRPr="00CE2D16">
        <w:rPr>
          <w:rFonts w:ascii="Arial" w:hAnsi="Arial" w:cs="Arial"/>
          <w:color w:val="000000"/>
          <w:sz w:val="24"/>
          <w:szCs w:val="24"/>
        </w:rPr>
        <w:t xml:space="preserve">For illustrative purposes the impact on the Force of having a lower precept was considered. For each £1 that the precept was reduced by the Force would need to find £0.5m of savings. As 80% of the Force’s costs relate to wages and Police Officer numbers are protected due to Uplift this saving could only come by reducing Police Staff numbers. £0.5m is equivalent to 15 staff. This would increase the level of staff vacancies on top of the current vacancy margin. The Chief Constable was of the view that these reductions in key areas would put at risk the delivery of the improvements he wishes to deliver under his vision “Our Plan”.  </w:t>
      </w:r>
    </w:p>
    <w:p w14:paraId="7133491F" w14:textId="77777777" w:rsidR="000A27AF" w:rsidRDefault="000A27AF" w:rsidP="000A27AF">
      <w:pPr>
        <w:autoSpaceDE w:val="0"/>
        <w:autoSpaceDN w:val="0"/>
        <w:adjustRightInd w:val="0"/>
        <w:spacing w:after="0" w:line="240" w:lineRule="auto"/>
        <w:ind w:left="360"/>
        <w:rPr>
          <w:rFonts w:ascii="Arial" w:hAnsi="Arial" w:cs="Arial"/>
          <w:b/>
          <w:color w:val="000000"/>
          <w:sz w:val="24"/>
          <w:szCs w:val="24"/>
        </w:rPr>
      </w:pPr>
      <w:r w:rsidRPr="00B7485F">
        <w:rPr>
          <w:rFonts w:ascii="Arial" w:hAnsi="Arial" w:cs="Arial"/>
          <w:b/>
          <w:color w:val="000000"/>
          <w:sz w:val="24"/>
          <w:szCs w:val="24"/>
        </w:rPr>
        <w:t xml:space="preserve">Surrey PCC Public Consultation on the Police Precept 2025/26 </w:t>
      </w:r>
    </w:p>
    <w:p w14:paraId="578912A3" w14:textId="77777777" w:rsidR="000A27AF" w:rsidRPr="00B7485F" w:rsidRDefault="000A27AF" w:rsidP="000A27AF">
      <w:pPr>
        <w:autoSpaceDE w:val="0"/>
        <w:autoSpaceDN w:val="0"/>
        <w:adjustRightInd w:val="0"/>
        <w:spacing w:after="0" w:line="240" w:lineRule="auto"/>
        <w:ind w:left="360"/>
        <w:rPr>
          <w:rFonts w:ascii="Arial" w:hAnsi="Arial" w:cs="Arial"/>
          <w:b/>
          <w:color w:val="000000"/>
          <w:sz w:val="24"/>
          <w:szCs w:val="24"/>
        </w:rPr>
      </w:pPr>
    </w:p>
    <w:p w14:paraId="409CD21A" w14:textId="77777777" w:rsidR="000A27AF" w:rsidRPr="00B7485F" w:rsidRDefault="000A27AF" w:rsidP="000A27AF">
      <w:pPr>
        <w:pStyle w:val="ListParagraph"/>
        <w:numPr>
          <w:ilvl w:val="0"/>
          <w:numId w:val="2"/>
        </w:numPr>
        <w:jc w:val="both"/>
        <w:rPr>
          <w:rFonts w:ascii="Arial" w:hAnsi="Arial" w:cs="Arial"/>
          <w:color w:val="000000"/>
          <w:sz w:val="24"/>
          <w:szCs w:val="24"/>
        </w:rPr>
      </w:pPr>
      <w:r w:rsidRPr="00B7485F">
        <w:rPr>
          <w:rFonts w:ascii="Arial" w:hAnsi="Arial" w:cs="Arial"/>
          <w:color w:val="000000"/>
          <w:sz w:val="24"/>
          <w:szCs w:val="24"/>
        </w:rPr>
        <w:t>As in previous years an online consultation with residents was commenced on 6</w:t>
      </w:r>
      <w:r w:rsidRPr="00B7485F">
        <w:rPr>
          <w:rFonts w:ascii="Arial" w:hAnsi="Arial" w:cs="Arial"/>
          <w:color w:val="000000"/>
          <w:sz w:val="24"/>
          <w:szCs w:val="24"/>
          <w:vertAlign w:val="superscript"/>
        </w:rPr>
        <w:t>th</w:t>
      </w:r>
      <w:r w:rsidRPr="00B7485F">
        <w:rPr>
          <w:rFonts w:ascii="Arial" w:hAnsi="Arial" w:cs="Arial"/>
          <w:color w:val="000000"/>
          <w:sz w:val="24"/>
          <w:szCs w:val="24"/>
        </w:rPr>
        <w:t xml:space="preserve"> January 2025 to enable the PCC to gauge resident’s views on any increase. </w:t>
      </w:r>
    </w:p>
    <w:p w14:paraId="5B3515F2" w14:textId="77777777" w:rsidR="000A27AF" w:rsidRPr="00B7485F" w:rsidRDefault="000A27AF" w:rsidP="000A27AF">
      <w:pPr>
        <w:pStyle w:val="ListParagraph"/>
        <w:ind w:left="360"/>
        <w:jc w:val="both"/>
        <w:rPr>
          <w:rFonts w:ascii="Arial" w:hAnsi="Arial" w:cs="Arial"/>
          <w:color w:val="000000"/>
          <w:sz w:val="24"/>
          <w:szCs w:val="24"/>
        </w:rPr>
      </w:pPr>
    </w:p>
    <w:p w14:paraId="1E97D156" w14:textId="77777777" w:rsidR="000A27AF" w:rsidRPr="00B7485F" w:rsidRDefault="000A27AF" w:rsidP="000A27AF">
      <w:pPr>
        <w:pStyle w:val="ListParagraph"/>
        <w:numPr>
          <w:ilvl w:val="0"/>
          <w:numId w:val="2"/>
        </w:numPr>
        <w:spacing w:before="120"/>
        <w:jc w:val="both"/>
        <w:rPr>
          <w:rFonts w:ascii="Arial" w:hAnsi="Arial" w:cs="Arial"/>
          <w:snapToGrid w:val="0"/>
        </w:rPr>
      </w:pPr>
      <w:r w:rsidRPr="00B7485F">
        <w:rPr>
          <w:rFonts w:ascii="Arial" w:hAnsi="Arial" w:cs="Arial"/>
          <w:color w:val="000000"/>
          <w:sz w:val="24"/>
          <w:szCs w:val="24"/>
        </w:rPr>
        <w:t xml:space="preserve">The survey asked whether residents would be happy to pay an increase of £14 or not. 59% of residents that responded </w:t>
      </w:r>
      <w:proofErr w:type="gramStart"/>
      <w:r w:rsidRPr="00B7485F">
        <w:rPr>
          <w:rFonts w:ascii="Arial" w:hAnsi="Arial" w:cs="Arial"/>
          <w:color w:val="000000"/>
          <w:sz w:val="24"/>
          <w:szCs w:val="24"/>
        </w:rPr>
        <w:t>were in agreement</w:t>
      </w:r>
      <w:proofErr w:type="gramEnd"/>
      <w:r w:rsidRPr="00B7485F">
        <w:rPr>
          <w:rFonts w:ascii="Arial" w:hAnsi="Arial" w:cs="Arial"/>
          <w:color w:val="000000"/>
          <w:sz w:val="24"/>
          <w:szCs w:val="24"/>
        </w:rPr>
        <w:t xml:space="preserve"> with a £14 increase. </w:t>
      </w:r>
    </w:p>
    <w:p w14:paraId="4146A3B6" w14:textId="77777777" w:rsidR="000A27AF" w:rsidRPr="00B7485F" w:rsidRDefault="000A27AF" w:rsidP="000A27AF">
      <w:pPr>
        <w:pStyle w:val="ListParagraph"/>
        <w:autoSpaceDE w:val="0"/>
        <w:autoSpaceDN w:val="0"/>
        <w:adjustRightInd w:val="0"/>
        <w:spacing w:after="0" w:line="240" w:lineRule="auto"/>
        <w:ind w:left="360"/>
        <w:rPr>
          <w:rFonts w:ascii="Arial" w:hAnsi="Arial" w:cs="Arial"/>
          <w:b/>
          <w:color w:val="000000"/>
          <w:sz w:val="24"/>
          <w:szCs w:val="24"/>
        </w:rPr>
      </w:pPr>
    </w:p>
    <w:p w14:paraId="4E03644B" w14:textId="77777777" w:rsidR="000A27AF" w:rsidRPr="00B7485F" w:rsidRDefault="000A27AF" w:rsidP="000A27AF">
      <w:pPr>
        <w:pStyle w:val="ListParagraph"/>
        <w:autoSpaceDE w:val="0"/>
        <w:autoSpaceDN w:val="0"/>
        <w:adjustRightInd w:val="0"/>
        <w:spacing w:after="0" w:line="240" w:lineRule="auto"/>
        <w:ind w:left="360"/>
        <w:rPr>
          <w:rFonts w:ascii="Arial" w:hAnsi="Arial" w:cs="Arial"/>
          <w:b/>
          <w:color w:val="000000"/>
          <w:sz w:val="24"/>
          <w:szCs w:val="24"/>
        </w:rPr>
      </w:pPr>
      <w:r w:rsidRPr="00B7485F">
        <w:rPr>
          <w:rFonts w:ascii="Arial" w:hAnsi="Arial" w:cs="Arial"/>
          <w:b/>
          <w:color w:val="000000"/>
          <w:sz w:val="24"/>
          <w:szCs w:val="24"/>
        </w:rPr>
        <w:t>Revenue Budget for 2024/25</w:t>
      </w:r>
    </w:p>
    <w:p w14:paraId="732B6FA7" w14:textId="77777777" w:rsidR="000A27AF" w:rsidRPr="00B7485F" w:rsidRDefault="000A27AF" w:rsidP="000A27AF">
      <w:pPr>
        <w:pStyle w:val="ListParagraph"/>
        <w:autoSpaceDE w:val="0"/>
        <w:autoSpaceDN w:val="0"/>
        <w:adjustRightInd w:val="0"/>
        <w:spacing w:after="0" w:line="240" w:lineRule="auto"/>
        <w:ind w:left="360"/>
        <w:rPr>
          <w:rFonts w:ascii="Arial" w:hAnsi="Arial" w:cs="Arial"/>
          <w:b/>
          <w:color w:val="000000"/>
          <w:sz w:val="24"/>
          <w:szCs w:val="24"/>
        </w:rPr>
      </w:pPr>
    </w:p>
    <w:p w14:paraId="646754C6" w14:textId="77777777" w:rsidR="000A27AF" w:rsidRPr="00B7485F" w:rsidRDefault="000A27AF" w:rsidP="000A27AF">
      <w:pPr>
        <w:pStyle w:val="ListParagraph"/>
        <w:autoSpaceDE w:val="0"/>
        <w:autoSpaceDN w:val="0"/>
        <w:adjustRightInd w:val="0"/>
        <w:spacing w:after="0" w:line="240" w:lineRule="auto"/>
        <w:ind w:left="360"/>
        <w:rPr>
          <w:rFonts w:ascii="Arial" w:hAnsi="Arial" w:cs="Arial"/>
          <w:color w:val="000000"/>
          <w:sz w:val="24"/>
          <w:szCs w:val="24"/>
          <w:u w:val="single"/>
        </w:rPr>
      </w:pPr>
      <w:r w:rsidRPr="00B7485F">
        <w:rPr>
          <w:rFonts w:ascii="Arial" w:hAnsi="Arial" w:cs="Arial"/>
          <w:color w:val="000000"/>
          <w:sz w:val="24"/>
          <w:szCs w:val="24"/>
          <w:u w:val="single"/>
        </w:rPr>
        <w:t>Performance for the year so far, up to Period 8, against the Revenue Budget 2024/25</w:t>
      </w:r>
    </w:p>
    <w:p w14:paraId="6B2C1A8D" w14:textId="77777777" w:rsidR="000A27AF" w:rsidRPr="00B7485F" w:rsidRDefault="000A27AF" w:rsidP="000A27AF">
      <w:pPr>
        <w:pStyle w:val="ListParagraph"/>
        <w:autoSpaceDE w:val="0"/>
        <w:autoSpaceDN w:val="0"/>
        <w:adjustRightInd w:val="0"/>
        <w:spacing w:after="0" w:line="240" w:lineRule="auto"/>
        <w:ind w:left="360"/>
        <w:rPr>
          <w:rFonts w:ascii="Arial" w:hAnsi="Arial" w:cs="Arial"/>
          <w:color w:val="000000"/>
          <w:sz w:val="24"/>
          <w:szCs w:val="24"/>
        </w:rPr>
      </w:pPr>
    </w:p>
    <w:p w14:paraId="16037F46" w14:textId="77777777" w:rsidR="000A27AF" w:rsidRPr="00B7485F"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B7485F">
        <w:rPr>
          <w:rFonts w:ascii="Arial" w:hAnsi="Arial" w:cs="Arial"/>
          <w:color w:val="000000"/>
          <w:sz w:val="24"/>
          <w:szCs w:val="24"/>
        </w:rPr>
        <w:t xml:space="preserve">Throughout the year, the PCC closely monitors the delivery of expenditure against budget in public Performance meetings. Regular updates have also been provided to the Police and Crime panel. Any revisions to those budgets in line with the Financial Regulations are noted as key decisions, if required, on the PCC’s website. </w:t>
      </w:r>
    </w:p>
    <w:p w14:paraId="1F365136" w14:textId="77777777" w:rsidR="000A27AF" w:rsidRPr="00B7485F" w:rsidRDefault="000A27AF" w:rsidP="000A27AF">
      <w:pPr>
        <w:pStyle w:val="ListParagraph"/>
        <w:autoSpaceDE w:val="0"/>
        <w:autoSpaceDN w:val="0"/>
        <w:adjustRightInd w:val="0"/>
        <w:spacing w:after="0" w:line="240" w:lineRule="auto"/>
        <w:ind w:left="360"/>
        <w:rPr>
          <w:rFonts w:ascii="Arial" w:hAnsi="Arial" w:cs="Arial"/>
          <w:color w:val="000000"/>
          <w:sz w:val="24"/>
          <w:szCs w:val="24"/>
        </w:rPr>
      </w:pPr>
    </w:p>
    <w:p w14:paraId="01D6419D" w14:textId="77777777" w:rsidR="000A27AF" w:rsidRPr="00B7485F" w:rsidRDefault="000A27AF" w:rsidP="000A27A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B7485F">
        <w:rPr>
          <w:rFonts w:ascii="Arial" w:hAnsi="Arial" w:cs="Arial"/>
          <w:color w:val="000000"/>
          <w:sz w:val="24"/>
          <w:szCs w:val="24"/>
        </w:rPr>
        <w:t>The revenue forecast as of 30</w:t>
      </w:r>
      <w:r>
        <w:rPr>
          <w:rFonts w:ascii="Arial" w:hAnsi="Arial" w:cs="Arial"/>
          <w:color w:val="000000"/>
          <w:sz w:val="24"/>
          <w:szCs w:val="24"/>
        </w:rPr>
        <w:t>th</w:t>
      </w:r>
      <w:r w:rsidRPr="00B7485F">
        <w:rPr>
          <w:rFonts w:ascii="Arial" w:hAnsi="Arial" w:cs="Arial"/>
          <w:color w:val="000000"/>
          <w:sz w:val="24"/>
          <w:szCs w:val="24"/>
        </w:rPr>
        <w:t xml:space="preserve"> November 2024 was as follows:</w:t>
      </w:r>
    </w:p>
    <w:p w14:paraId="139FD1F8" w14:textId="77777777" w:rsidR="000A27AF" w:rsidRPr="00B7485F" w:rsidRDefault="000A27AF" w:rsidP="000A27AF">
      <w:pPr>
        <w:autoSpaceDE w:val="0"/>
        <w:autoSpaceDN w:val="0"/>
        <w:adjustRightInd w:val="0"/>
        <w:spacing w:after="0" w:line="240" w:lineRule="auto"/>
        <w:rPr>
          <w:rFonts w:ascii="Arial" w:hAnsi="Arial" w:cs="Arial"/>
          <w:color w:val="000000"/>
          <w:sz w:val="24"/>
          <w:szCs w:val="24"/>
        </w:rPr>
      </w:pPr>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418"/>
        <w:gridCol w:w="1417"/>
        <w:gridCol w:w="1407"/>
      </w:tblGrid>
      <w:tr w:rsidR="000A27AF" w:rsidRPr="00B7485F" w14:paraId="135FFE69" w14:textId="77777777" w:rsidTr="00BD14BB">
        <w:trPr>
          <w:trHeight w:val="350"/>
          <w:jc w:val="center"/>
        </w:trPr>
        <w:tc>
          <w:tcPr>
            <w:tcW w:w="3397" w:type="dxa"/>
            <w:vAlign w:val="center"/>
          </w:tcPr>
          <w:p w14:paraId="7546D7D5" w14:textId="77777777" w:rsidR="000A27AF" w:rsidRPr="00B7485F" w:rsidRDefault="000A27AF" w:rsidP="00BD14BB">
            <w:pPr>
              <w:overflowPunct w:val="0"/>
              <w:autoSpaceDE w:val="0"/>
              <w:autoSpaceDN w:val="0"/>
              <w:adjustRightInd w:val="0"/>
              <w:spacing w:after="0" w:line="240" w:lineRule="auto"/>
              <w:textAlignment w:val="baseline"/>
              <w:rPr>
                <w:rFonts w:ascii="Arial" w:hAnsi="Arial" w:cs="Arial"/>
                <w:b/>
                <w:bCs/>
                <w:color w:val="00B0F0"/>
                <w:sz w:val="24"/>
                <w:szCs w:val="24"/>
                <w:lang w:eastAsia="en-GB"/>
              </w:rPr>
            </w:pPr>
            <w:r w:rsidRPr="00B7485F">
              <w:rPr>
                <w:rFonts w:ascii="Arial" w:hAnsi="Arial" w:cs="Arial"/>
                <w:b/>
                <w:bCs/>
                <w:sz w:val="24"/>
                <w:szCs w:val="24"/>
                <w:lang w:eastAsia="en-GB"/>
              </w:rPr>
              <w:t>Surrey</w:t>
            </w:r>
          </w:p>
        </w:tc>
        <w:tc>
          <w:tcPr>
            <w:tcW w:w="1418" w:type="dxa"/>
            <w:vAlign w:val="center"/>
          </w:tcPr>
          <w:p w14:paraId="39D2F4D3" w14:textId="77777777" w:rsidR="000A27AF" w:rsidRPr="00B7485F" w:rsidRDefault="000A27AF" w:rsidP="00BD14BB">
            <w:pPr>
              <w:overflowPunct w:val="0"/>
              <w:autoSpaceDE w:val="0"/>
              <w:autoSpaceDN w:val="0"/>
              <w:adjustRightInd w:val="0"/>
              <w:spacing w:after="0" w:line="240" w:lineRule="auto"/>
              <w:jc w:val="center"/>
              <w:textAlignment w:val="baseline"/>
              <w:rPr>
                <w:rFonts w:ascii="Arial" w:hAnsi="Arial" w:cs="Arial"/>
                <w:b/>
                <w:bCs/>
                <w:sz w:val="24"/>
                <w:szCs w:val="24"/>
                <w:lang w:eastAsia="en-GB"/>
              </w:rPr>
            </w:pPr>
            <w:r w:rsidRPr="00B7485F">
              <w:rPr>
                <w:rFonts w:ascii="Arial" w:hAnsi="Arial" w:cs="Arial"/>
                <w:b/>
                <w:bCs/>
                <w:sz w:val="24"/>
                <w:szCs w:val="24"/>
                <w:lang w:eastAsia="en-GB"/>
              </w:rPr>
              <w:t>Annual Budget</w:t>
            </w:r>
          </w:p>
          <w:p w14:paraId="6D071299" w14:textId="77777777" w:rsidR="000A27AF" w:rsidRPr="00B7485F" w:rsidRDefault="000A27AF" w:rsidP="00BD14BB">
            <w:pPr>
              <w:overflowPunct w:val="0"/>
              <w:autoSpaceDE w:val="0"/>
              <w:autoSpaceDN w:val="0"/>
              <w:adjustRightInd w:val="0"/>
              <w:spacing w:after="0" w:line="240" w:lineRule="auto"/>
              <w:jc w:val="center"/>
              <w:textAlignment w:val="baseline"/>
              <w:rPr>
                <w:rFonts w:ascii="Arial" w:hAnsi="Arial" w:cs="Arial"/>
                <w:b/>
                <w:bCs/>
                <w:sz w:val="24"/>
                <w:szCs w:val="24"/>
                <w:lang w:eastAsia="en-GB"/>
              </w:rPr>
            </w:pPr>
            <w:r w:rsidRPr="00B7485F">
              <w:rPr>
                <w:rFonts w:ascii="Arial" w:hAnsi="Arial" w:cs="Arial"/>
                <w:b/>
                <w:bCs/>
                <w:sz w:val="24"/>
                <w:szCs w:val="24"/>
                <w:lang w:eastAsia="en-GB"/>
              </w:rPr>
              <w:t>2024/25 £m</w:t>
            </w:r>
          </w:p>
        </w:tc>
        <w:tc>
          <w:tcPr>
            <w:tcW w:w="1417" w:type="dxa"/>
            <w:shd w:val="clear" w:color="auto" w:fill="auto"/>
            <w:noWrap/>
            <w:vAlign w:val="center"/>
          </w:tcPr>
          <w:p w14:paraId="43617084" w14:textId="77777777" w:rsidR="000A27AF" w:rsidRPr="00B7485F" w:rsidRDefault="000A27AF" w:rsidP="00BD14BB">
            <w:pPr>
              <w:overflowPunct w:val="0"/>
              <w:autoSpaceDE w:val="0"/>
              <w:autoSpaceDN w:val="0"/>
              <w:adjustRightInd w:val="0"/>
              <w:spacing w:after="0" w:line="240" w:lineRule="auto"/>
              <w:jc w:val="center"/>
              <w:textAlignment w:val="baseline"/>
              <w:rPr>
                <w:rFonts w:ascii="Arial" w:hAnsi="Arial" w:cs="Arial"/>
                <w:b/>
                <w:bCs/>
                <w:sz w:val="24"/>
                <w:szCs w:val="24"/>
                <w:lang w:eastAsia="en-GB"/>
              </w:rPr>
            </w:pPr>
            <w:r w:rsidRPr="00B7485F">
              <w:rPr>
                <w:rFonts w:ascii="Arial" w:hAnsi="Arial" w:cs="Arial"/>
                <w:b/>
                <w:bCs/>
                <w:sz w:val="24"/>
                <w:szCs w:val="24"/>
                <w:lang w:eastAsia="en-GB"/>
              </w:rPr>
              <w:t>Forecast</w:t>
            </w:r>
          </w:p>
          <w:p w14:paraId="0C265864" w14:textId="77777777" w:rsidR="000A27AF" w:rsidRPr="00B7485F" w:rsidRDefault="000A27AF" w:rsidP="00BD14BB">
            <w:pPr>
              <w:overflowPunct w:val="0"/>
              <w:autoSpaceDE w:val="0"/>
              <w:autoSpaceDN w:val="0"/>
              <w:adjustRightInd w:val="0"/>
              <w:spacing w:after="0" w:line="240" w:lineRule="auto"/>
              <w:jc w:val="center"/>
              <w:textAlignment w:val="baseline"/>
              <w:rPr>
                <w:rFonts w:ascii="Arial" w:hAnsi="Arial" w:cs="Arial"/>
                <w:b/>
                <w:bCs/>
                <w:sz w:val="24"/>
                <w:szCs w:val="24"/>
                <w:lang w:eastAsia="en-GB"/>
              </w:rPr>
            </w:pPr>
            <w:r w:rsidRPr="00B7485F">
              <w:rPr>
                <w:rFonts w:ascii="Arial" w:hAnsi="Arial" w:cs="Arial"/>
                <w:b/>
                <w:bCs/>
                <w:sz w:val="24"/>
                <w:szCs w:val="24"/>
                <w:lang w:eastAsia="en-GB"/>
              </w:rPr>
              <w:t>Outturn</w:t>
            </w:r>
          </w:p>
          <w:p w14:paraId="36199F0A" w14:textId="77777777" w:rsidR="000A27AF" w:rsidRPr="00B7485F" w:rsidRDefault="000A27AF" w:rsidP="00BD14BB">
            <w:pPr>
              <w:overflowPunct w:val="0"/>
              <w:autoSpaceDE w:val="0"/>
              <w:autoSpaceDN w:val="0"/>
              <w:adjustRightInd w:val="0"/>
              <w:spacing w:after="0" w:line="240" w:lineRule="auto"/>
              <w:jc w:val="center"/>
              <w:textAlignment w:val="baseline"/>
              <w:rPr>
                <w:rFonts w:ascii="Arial" w:hAnsi="Arial" w:cs="Arial"/>
                <w:b/>
                <w:bCs/>
                <w:sz w:val="24"/>
                <w:szCs w:val="24"/>
                <w:lang w:eastAsia="en-GB"/>
              </w:rPr>
            </w:pPr>
            <w:r w:rsidRPr="00B7485F">
              <w:rPr>
                <w:rFonts w:ascii="Arial" w:hAnsi="Arial" w:cs="Arial"/>
                <w:b/>
                <w:bCs/>
                <w:sz w:val="24"/>
                <w:szCs w:val="24"/>
                <w:lang w:eastAsia="en-GB"/>
              </w:rPr>
              <w:t>2024/25 £m</w:t>
            </w:r>
          </w:p>
        </w:tc>
        <w:tc>
          <w:tcPr>
            <w:tcW w:w="1407" w:type="dxa"/>
            <w:shd w:val="clear" w:color="auto" w:fill="auto"/>
            <w:noWrap/>
            <w:vAlign w:val="center"/>
          </w:tcPr>
          <w:p w14:paraId="0FF70AA4" w14:textId="77777777" w:rsidR="000A27AF" w:rsidRPr="00B7485F" w:rsidRDefault="000A27AF" w:rsidP="00BD14BB">
            <w:pPr>
              <w:overflowPunct w:val="0"/>
              <w:autoSpaceDE w:val="0"/>
              <w:autoSpaceDN w:val="0"/>
              <w:adjustRightInd w:val="0"/>
              <w:spacing w:after="0" w:line="240" w:lineRule="auto"/>
              <w:jc w:val="center"/>
              <w:textAlignment w:val="baseline"/>
              <w:rPr>
                <w:rFonts w:ascii="Arial" w:hAnsi="Arial" w:cs="Arial"/>
                <w:b/>
                <w:bCs/>
                <w:sz w:val="24"/>
                <w:szCs w:val="24"/>
                <w:lang w:eastAsia="en-GB"/>
              </w:rPr>
            </w:pPr>
            <w:r w:rsidRPr="00B7485F">
              <w:rPr>
                <w:rFonts w:ascii="Arial" w:hAnsi="Arial" w:cs="Arial"/>
                <w:b/>
                <w:bCs/>
                <w:sz w:val="24"/>
                <w:szCs w:val="24"/>
                <w:lang w:eastAsia="en-GB"/>
              </w:rPr>
              <w:t>Variance £m</w:t>
            </w:r>
          </w:p>
        </w:tc>
      </w:tr>
      <w:tr w:rsidR="000A27AF" w:rsidRPr="00B7485F" w14:paraId="4BA97B4D" w14:textId="77777777" w:rsidTr="00BD14BB">
        <w:trPr>
          <w:trHeight w:val="385"/>
          <w:jc w:val="center"/>
        </w:trPr>
        <w:tc>
          <w:tcPr>
            <w:tcW w:w="3397" w:type="dxa"/>
            <w:vAlign w:val="center"/>
          </w:tcPr>
          <w:p w14:paraId="64AFCAE6" w14:textId="77777777" w:rsidR="000A27AF" w:rsidRPr="00B7485F" w:rsidRDefault="000A27AF" w:rsidP="00BD14BB">
            <w:pPr>
              <w:overflowPunct w:val="0"/>
              <w:autoSpaceDE w:val="0"/>
              <w:autoSpaceDN w:val="0"/>
              <w:adjustRightInd w:val="0"/>
              <w:spacing w:after="0" w:line="240" w:lineRule="auto"/>
              <w:textAlignment w:val="baseline"/>
              <w:rPr>
                <w:rFonts w:ascii="Arial" w:hAnsi="Arial" w:cs="Arial"/>
                <w:color w:val="00B0F0"/>
                <w:sz w:val="24"/>
                <w:szCs w:val="24"/>
                <w:lang w:eastAsia="en-GB"/>
              </w:rPr>
            </w:pPr>
            <w:r w:rsidRPr="00B7485F">
              <w:rPr>
                <w:rFonts w:ascii="Arial" w:hAnsi="Arial" w:cs="Arial"/>
                <w:sz w:val="24"/>
                <w:szCs w:val="24"/>
                <w:lang w:eastAsia="en-GB"/>
              </w:rPr>
              <w:t>PCC Budget</w:t>
            </w:r>
          </w:p>
        </w:tc>
        <w:tc>
          <w:tcPr>
            <w:tcW w:w="1418" w:type="dxa"/>
            <w:vAlign w:val="center"/>
          </w:tcPr>
          <w:p w14:paraId="4707C1B4" w14:textId="77777777" w:rsidR="000A27AF" w:rsidRPr="00B7485F" w:rsidRDefault="000A27AF" w:rsidP="00BD14BB">
            <w:pPr>
              <w:overflowPunct w:val="0"/>
              <w:autoSpaceDE w:val="0"/>
              <w:autoSpaceDN w:val="0"/>
              <w:adjustRightInd w:val="0"/>
              <w:spacing w:after="0" w:line="240" w:lineRule="auto"/>
              <w:jc w:val="center"/>
              <w:textAlignment w:val="baseline"/>
              <w:rPr>
                <w:rFonts w:ascii="Arial" w:hAnsi="Arial" w:cs="Arial"/>
                <w:sz w:val="24"/>
                <w:szCs w:val="24"/>
                <w:lang w:eastAsia="en-GB"/>
              </w:rPr>
            </w:pPr>
            <w:r w:rsidRPr="00B7485F">
              <w:rPr>
                <w:rFonts w:ascii="Arial" w:hAnsi="Arial" w:cs="Arial"/>
                <w:sz w:val="24"/>
                <w:szCs w:val="24"/>
                <w:lang w:eastAsia="en-GB"/>
              </w:rPr>
              <w:t>3.2</w:t>
            </w:r>
          </w:p>
        </w:tc>
        <w:tc>
          <w:tcPr>
            <w:tcW w:w="1417" w:type="dxa"/>
            <w:shd w:val="clear" w:color="auto" w:fill="auto"/>
            <w:noWrap/>
            <w:vAlign w:val="center"/>
          </w:tcPr>
          <w:p w14:paraId="0F9F02AA" w14:textId="77777777" w:rsidR="000A27AF" w:rsidRPr="00B7485F" w:rsidRDefault="000A27AF" w:rsidP="00BD14BB">
            <w:pPr>
              <w:overflowPunct w:val="0"/>
              <w:autoSpaceDE w:val="0"/>
              <w:autoSpaceDN w:val="0"/>
              <w:adjustRightInd w:val="0"/>
              <w:spacing w:after="0" w:line="240" w:lineRule="auto"/>
              <w:jc w:val="center"/>
              <w:textAlignment w:val="baseline"/>
              <w:rPr>
                <w:rFonts w:ascii="Arial" w:hAnsi="Arial" w:cs="Arial"/>
                <w:sz w:val="24"/>
                <w:szCs w:val="24"/>
                <w:lang w:eastAsia="en-GB"/>
              </w:rPr>
            </w:pPr>
            <w:r w:rsidRPr="00B7485F">
              <w:rPr>
                <w:rFonts w:ascii="Arial" w:hAnsi="Arial" w:cs="Arial"/>
                <w:sz w:val="24"/>
                <w:szCs w:val="24"/>
                <w:lang w:eastAsia="en-GB"/>
              </w:rPr>
              <w:t>3.1</w:t>
            </w:r>
          </w:p>
        </w:tc>
        <w:tc>
          <w:tcPr>
            <w:tcW w:w="1407" w:type="dxa"/>
            <w:shd w:val="clear" w:color="auto" w:fill="auto"/>
            <w:noWrap/>
            <w:vAlign w:val="center"/>
          </w:tcPr>
          <w:p w14:paraId="6235F94A" w14:textId="77777777" w:rsidR="000A27AF" w:rsidRPr="00B7485F" w:rsidRDefault="000A27AF" w:rsidP="00BD14BB">
            <w:pPr>
              <w:overflowPunct w:val="0"/>
              <w:autoSpaceDE w:val="0"/>
              <w:autoSpaceDN w:val="0"/>
              <w:adjustRightInd w:val="0"/>
              <w:spacing w:after="0" w:line="240" w:lineRule="auto"/>
              <w:jc w:val="center"/>
              <w:textAlignment w:val="baseline"/>
              <w:rPr>
                <w:rFonts w:ascii="Arial" w:hAnsi="Arial" w:cs="Arial"/>
                <w:sz w:val="24"/>
                <w:szCs w:val="24"/>
                <w:lang w:eastAsia="en-GB"/>
              </w:rPr>
            </w:pPr>
            <w:r w:rsidRPr="00B7485F">
              <w:rPr>
                <w:rFonts w:ascii="Arial" w:hAnsi="Arial" w:cs="Arial"/>
                <w:sz w:val="24"/>
                <w:szCs w:val="24"/>
                <w:lang w:eastAsia="en-GB"/>
              </w:rPr>
              <w:t>(0.1)</w:t>
            </w:r>
          </w:p>
        </w:tc>
      </w:tr>
      <w:tr w:rsidR="000A27AF" w:rsidRPr="00B7485F" w14:paraId="5FAC4254" w14:textId="77777777" w:rsidTr="00BD14BB">
        <w:trPr>
          <w:trHeight w:val="385"/>
          <w:jc w:val="center"/>
        </w:trPr>
        <w:tc>
          <w:tcPr>
            <w:tcW w:w="3397" w:type="dxa"/>
            <w:vAlign w:val="center"/>
          </w:tcPr>
          <w:p w14:paraId="3FEC16A2" w14:textId="77777777" w:rsidR="000A27AF" w:rsidRPr="00B7485F" w:rsidRDefault="000A27AF" w:rsidP="00BD14BB">
            <w:pPr>
              <w:overflowPunct w:val="0"/>
              <w:autoSpaceDE w:val="0"/>
              <w:autoSpaceDN w:val="0"/>
              <w:adjustRightInd w:val="0"/>
              <w:spacing w:after="0" w:line="240" w:lineRule="auto"/>
              <w:textAlignment w:val="baseline"/>
              <w:rPr>
                <w:rFonts w:ascii="Arial" w:hAnsi="Arial" w:cs="Arial"/>
                <w:sz w:val="24"/>
                <w:szCs w:val="24"/>
                <w:lang w:eastAsia="en-GB"/>
              </w:rPr>
            </w:pPr>
            <w:r w:rsidRPr="00B7485F">
              <w:rPr>
                <w:rFonts w:ascii="Arial" w:hAnsi="Arial" w:cs="Arial"/>
                <w:sz w:val="24"/>
                <w:szCs w:val="24"/>
                <w:lang w:eastAsia="en-GB"/>
              </w:rPr>
              <w:t>Operational Delivery Budget</w:t>
            </w:r>
          </w:p>
        </w:tc>
        <w:tc>
          <w:tcPr>
            <w:tcW w:w="1418" w:type="dxa"/>
            <w:vAlign w:val="center"/>
          </w:tcPr>
          <w:p w14:paraId="5F2D20A3" w14:textId="77777777" w:rsidR="000A27AF" w:rsidRPr="00B7485F" w:rsidRDefault="000A27AF" w:rsidP="00BD14BB">
            <w:pPr>
              <w:overflowPunct w:val="0"/>
              <w:autoSpaceDE w:val="0"/>
              <w:autoSpaceDN w:val="0"/>
              <w:adjustRightInd w:val="0"/>
              <w:spacing w:after="0" w:line="240" w:lineRule="auto"/>
              <w:jc w:val="center"/>
              <w:textAlignment w:val="baseline"/>
              <w:rPr>
                <w:rFonts w:ascii="Arial" w:hAnsi="Arial" w:cs="Arial"/>
                <w:sz w:val="24"/>
                <w:szCs w:val="24"/>
                <w:lang w:eastAsia="en-GB"/>
              </w:rPr>
            </w:pPr>
            <w:r w:rsidRPr="00B7485F">
              <w:rPr>
                <w:rFonts w:ascii="Arial" w:hAnsi="Arial" w:cs="Arial"/>
                <w:sz w:val="24"/>
                <w:szCs w:val="24"/>
                <w:lang w:eastAsia="en-GB"/>
              </w:rPr>
              <w:t>306.9</w:t>
            </w:r>
          </w:p>
        </w:tc>
        <w:tc>
          <w:tcPr>
            <w:tcW w:w="1417" w:type="dxa"/>
            <w:shd w:val="clear" w:color="auto" w:fill="auto"/>
            <w:noWrap/>
            <w:vAlign w:val="center"/>
          </w:tcPr>
          <w:p w14:paraId="6149FA9C" w14:textId="77777777" w:rsidR="000A27AF" w:rsidRPr="00B7485F" w:rsidRDefault="000A27AF" w:rsidP="00BD14BB">
            <w:pPr>
              <w:overflowPunct w:val="0"/>
              <w:autoSpaceDE w:val="0"/>
              <w:autoSpaceDN w:val="0"/>
              <w:adjustRightInd w:val="0"/>
              <w:spacing w:after="0" w:line="240" w:lineRule="auto"/>
              <w:jc w:val="center"/>
              <w:textAlignment w:val="baseline"/>
              <w:rPr>
                <w:rFonts w:ascii="Arial" w:hAnsi="Arial" w:cs="Arial"/>
                <w:sz w:val="24"/>
                <w:szCs w:val="24"/>
                <w:lang w:eastAsia="en-GB"/>
              </w:rPr>
            </w:pPr>
            <w:r w:rsidRPr="00B7485F">
              <w:rPr>
                <w:rFonts w:ascii="Arial" w:hAnsi="Arial" w:cs="Arial"/>
                <w:sz w:val="24"/>
                <w:szCs w:val="24"/>
                <w:lang w:eastAsia="en-GB"/>
              </w:rPr>
              <w:t>307.2</w:t>
            </w:r>
          </w:p>
        </w:tc>
        <w:tc>
          <w:tcPr>
            <w:tcW w:w="1407" w:type="dxa"/>
            <w:shd w:val="clear" w:color="auto" w:fill="auto"/>
            <w:noWrap/>
            <w:vAlign w:val="center"/>
          </w:tcPr>
          <w:p w14:paraId="6E201400" w14:textId="77777777" w:rsidR="000A27AF" w:rsidRPr="00B7485F" w:rsidRDefault="000A27AF" w:rsidP="00BD14BB">
            <w:pPr>
              <w:overflowPunct w:val="0"/>
              <w:autoSpaceDE w:val="0"/>
              <w:autoSpaceDN w:val="0"/>
              <w:adjustRightInd w:val="0"/>
              <w:spacing w:after="0" w:line="240" w:lineRule="auto"/>
              <w:jc w:val="center"/>
              <w:textAlignment w:val="baseline"/>
              <w:rPr>
                <w:rFonts w:ascii="Arial" w:hAnsi="Arial" w:cs="Arial"/>
                <w:sz w:val="24"/>
                <w:szCs w:val="24"/>
                <w:lang w:eastAsia="en-GB"/>
              </w:rPr>
            </w:pPr>
            <w:r w:rsidRPr="00B7485F">
              <w:rPr>
                <w:rFonts w:ascii="Arial" w:hAnsi="Arial" w:cs="Arial"/>
                <w:sz w:val="24"/>
                <w:szCs w:val="24"/>
                <w:lang w:eastAsia="en-GB"/>
              </w:rPr>
              <w:t>0.3</w:t>
            </w:r>
          </w:p>
        </w:tc>
      </w:tr>
      <w:tr w:rsidR="000A27AF" w:rsidRPr="00B7485F" w14:paraId="59174327" w14:textId="77777777" w:rsidTr="00BD14BB">
        <w:trPr>
          <w:trHeight w:val="385"/>
          <w:jc w:val="center"/>
        </w:trPr>
        <w:tc>
          <w:tcPr>
            <w:tcW w:w="3397" w:type="dxa"/>
            <w:vAlign w:val="center"/>
          </w:tcPr>
          <w:p w14:paraId="6E7973F1" w14:textId="77777777" w:rsidR="000A27AF" w:rsidRPr="00B7485F" w:rsidRDefault="000A27AF" w:rsidP="00BD14BB">
            <w:pPr>
              <w:overflowPunct w:val="0"/>
              <w:autoSpaceDE w:val="0"/>
              <w:autoSpaceDN w:val="0"/>
              <w:adjustRightInd w:val="0"/>
              <w:spacing w:after="0" w:line="240" w:lineRule="auto"/>
              <w:textAlignment w:val="baseline"/>
              <w:rPr>
                <w:rFonts w:ascii="Arial" w:hAnsi="Arial" w:cs="Arial"/>
                <w:b/>
                <w:bCs/>
                <w:sz w:val="24"/>
                <w:szCs w:val="24"/>
                <w:lang w:eastAsia="en-GB"/>
              </w:rPr>
            </w:pPr>
            <w:r w:rsidRPr="00B7485F">
              <w:rPr>
                <w:rFonts w:ascii="Arial" w:hAnsi="Arial" w:cs="Arial"/>
                <w:b/>
                <w:bCs/>
                <w:sz w:val="24"/>
                <w:szCs w:val="24"/>
                <w:lang w:eastAsia="en-GB"/>
              </w:rPr>
              <w:lastRenderedPageBreak/>
              <w:t>Total 2022/23 Budget</w:t>
            </w:r>
          </w:p>
        </w:tc>
        <w:tc>
          <w:tcPr>
            <w:tcW w:w="1418" w:type="dxa"/>
            <w:vAlign w:val="center"/>
          </w:tcPr>
          <w:p w14:paraId="4461E62D" w14:textId="77777777" w:rsidR="000A27AF" w:rsidRPr="00B7485F" w:rsidRDefault="000A27AF" w:rsidP="00BD14BB">
            <w:pPr>
              <w:overflowPunct w:val="0"/>
              <w:autoSpaceDE w:val="0"/>
              <w:autoSpaceDN w:val="0"/>
              <w:adjustRightInd w:val="0"/>
              <w:spacing w:after="0" w:line="240" w:lineRule="auto"/>
              <w:jc w:val="center"/>
              <w:textAlignment w:val="baseline"/>
              <w:rPr>
                <w:rFonts w:ascii="Arial" w:hAnsi="Arial" w:cs="Arial"/>
                <w:b/>
                <w:bCs/>
                <w:sz w:val="24"/>
                <w:szCs w:val="24"/>
                <w:lang w:eastAsia="en-GB"/>
              </w:rPr>
            </w:pPr>
            <w:r w:rsidRPr="00B7485F">
              <w:rPr>
                <w:rFonts w:ascii="Arial" w:hAnsi="Arial" w:cs="Arial"/>
                <w:b/>
                <w:bCs/>
                <w:sz w:val="24"/>
                <w:szCs w:val="24"/>
                <w:lang w:eastAsia="en-GB"/>
              </w:rPr>
              <w:t>310.1</w:t>
            </w:r>
          </w:p>
        </w:tc>
        <w:tc>
          <w:tcPr>
            <w:tcW w:w="1417" w:type="dxa"/>
            <w:shd w:val="clear" w:color="auto" w:fill="auto"/>
            <w:noWrap/>
            <w:vAlign w:val="center"/>
          </w:tcPr>
          <w:p w14:paraId="7AC82F79" w14:textId="77777777" w:rsidR="000A27AF" w:rsidRPr="00B7485F" w:rsidRDefault="000A27AF" w:rsidP="00BD14BB">
            <w:pPr>
              <w:overflowPunct w:val="0"/>
              <w:autoSpaceDE w:val="0"/>
              <w:autoSpaceDN w:val="0"/>
              <w:adjustRightInd w:val="0"/>
              <w:spacing w:after="0" w:line="240" w:lineRule="auto"/>
              <w:jc w:val="center"/>
              <w:textAlignment w:val="baseline"/>
              <w:rPr>
                <w:rFonts w:ascii="Arial" w:hAnsi="Arial" w:cs="Arial"/>
                <w:b/>
                <w:bCs/>
                <w:sz w:val="24"/>
                <w:szCs w:val="24"/>
                <w:lang w:eastAsia="en-GB"/>
              </w:rPr>
            </w:pPr>
            <w:r w:rsidRPr="00B7485F">
              <w:rPr>
                <w:rFonts w:ascii="Arial" w:hAnsi="Arial" w:cs="Arial"/>
                <w:b/>
                <w:bCs/>
                <w:sz w:val="24"/>
                <w:szCs w:val="24"/>
                <w:lang w:eastAsia="en-GB"/>
              </w:rPr>
              <w:t>310.3</w:t>
            </w:r>
          </w:p>
        </w:tc>
        <w:tc>
          <w:tcPr>
            <w:tcW w:w="1407" w:type="dxa"/>
            <w:shd w:val="clear" w:color="auto" w:fill="auto"/>
            <w:noWrap/>
            <w:vAlign w:val="center"/>
          </w:tcPr>
          <w:p w14:paraId="6CD24112" w14:textId="77777777" w:rsidR="000A27AF" w:rsidRPr="00B7485F" w:rsidRDefault="000A27AF" w:rsidP="00BD14BB">
            <w:pPr>
              <w:overflowPunct w:val="0"/>
              <w:autoSpaceDE w:val="0"/>
              <w:autoSpaceDN w:val="0"/>
              <w:adjustRightInd w:val="0"/>
              <w:spacing w:after="0" w:line="240" w:lineRule="auto"/>
              <w:jc w:val="center"/>
              <w:textAlignment w:val="baseline"/>
              <w:rPr>
                <w:rFonts w:ascii="Arial" w:hAnsi="Arial" w:cs="Arial"/>
                <w:b/>
                <w:bCs/>
                <w:sz w:val="24"/>
                <w:szCs w:val="24"/>
                <w:lang w:eastAsia="en-GB"/>
              </w:rPr>
            </w:pPr>
            <w:r w:rsidRPr="00B7485F">
              <w:rPr>
                <w:rFonts w:ascii="Arial" w:hAnsi="Arial" w:cs="Arial"/>
                <w:b/>
                <w:bCs/>
                <w:sz w:val="24"/>
                <w:szCs w:val="24"/>
                <w:lang w:eastAsia="en-GB"/>
              </w:rPr>
              <w:t>0.2</w:t>
            </w:r>
          </w:p>
        </w:tc>
      </w:tr>
      <w:tr w:rsidR="000A27AF" w:rsidRPr="00B7485F" w14:paraId="47B612C5" w14:textId="77777777" w:rsidTr="00BD14BB">
        <w:trPr>
          <w:trHeight w:val="385"/>
          <w:jc w:val="center"/>
        </w:trPr>
        <w:tc>
          <w:tcPr>
            <w:tcW w:w="3397" w:type="dxa"/>
            <w:vAlign w:val="center"/>
          </w:tcPr>
          <w:p w14:paraId="6C78137F" w14:textId="77777777" w:rsidR="000A27AF" w:rsidRPr="00B7485F" w:rsidRDefault="000A27AF" w:rsidP="00BD14BB">
            <w:pPr>
              <w:overflowPunct w:val="0"/>
              <w:autoSpaceDE w:val="0"/>
              <w:autoSpaceDN w:val="0"/>
              <w:adjustRightInd w:val="0"/>
              <w:spacing w:after="0" w:line="240" w:lineRule="auto"/>
              <w:textAlignment w:val="baseline"/>
              <w:rPr>
                <w:rFonts w:ascii="Arial" w:hAnsi="Arial" w:cs="Arial"/>
                <w:sz w:val="24"/>
                <w:szCs w:val="24"/>
                <w:lang w:eastAsia="en-GB"/>
              </w:rPr>
            </w:pPr>
            <w:r w:rsidRPr="00B7485F">
              <w:rPr>
                <w:rFonts w:ascii="Arial" w:hAnsi="Arial" w:cs="Arial"/>
                <w:sz w:val="24"/>
                <w:szCs w:val="24"/>
                <w:lang w:eastAsia="en-GB"/>
              </w:rPr>
              <w:t>Funding</w:t>
            </w:r>
          </w:p>
        </w:tc>
        <w:tc>
          <w:tcPr>
            <w:tcW w:w="1418" w:type="dxa"/>
            <w:vAlign w:val="center"/>
          </w:tcPr>
          <w:p w14:paraId="5590D14B" w14:textId="77777777" w:rsidR="000A27AF" w:rsidRPr="00B7485F" w:rsidRDefault="000A27AF" w:rsidP="00BD14BB">
            <w:pPr>
              <w:overflowPunct w:val="0"/>
              <w:autoSpaceDE w:val="0"/>
              <w:autoSpaceDN w:val="0"/>
              <w:adjustRightInd w:val="0"/>
              <w:spacing w:after="0" w:line="240" w:lineRule="auto"/>
              <w:jc w:val="center"/>
              <w:textAlignment w:val="baseline"/>
              <w:rPr>
                <w:rFonts w:ascii="Arial" w:hAnsi="Arial" w:cs="Arial"/>
                <w:sz w:val="24"/>
                <w:szCs w:val="24"/>
                <w:lang w:eastAsia="en-GB"/>
              </w:rPr>
            </w:pPr>
            <w:r w:rsidRPr="00B7485F">
              <w:rPr>
                <w:rFonts w:ascii="Arial" w:hAnsi="Arial" w:cs="Arial"/>
                <w:sz w:val="24"/>
                <w:szCs w:val="24"/>
                <w:lang w:eastAsia="en-GB"/>
              </w:rPr>
              <w:t>(310.1)</w:t>
            </w:r>
          </w:p>
        </w:tc>
        <w:tc>
          <w:tcPr>
            <w:tcW w:w="1417" w:type="dxa"/>
            <w:shd w:val="clear" w:color="auto" w:fill="auto"/>
            <w:noWrap/>
            <w:vAlign w:val="center"/>
          </w:tcPr>
          <w:p w14:paraId="2FBA024A" w14:textId="77777777" w:rsidR="000A27AF" w:rsidRPr="00B7485F" w:rsidRDefault="000A27AF" w:rsidP="00BD14BB">
            <w:pPr>
              <w:overflowPunct w:val="0"/>
              <w:autoSpaceDE w:val="0"/>
              <w:autoSpaceDN w:val="0"/>
              <w:adjustRightInd w:val="0"/>
              <w:spacing w:after="0" w:line="240" w:lineRule="auto"/>
              <w:jc w:val="center"/>
              <w:textAlignment w:val="baseline"/>
              <w:rPr>
                <w:rFonts w:ascii="Arial" w:hAnsi="Arial" w:cs="Arial"/>
                <w:sz w:val="24"/>
                <w:szCs w:val="24"/>
                <w:lang w:eastAsia="en-GB"/>
              </w:rPr>
            </w:pPr>
            <w:r w:rsidRPr="00B7485F">
              <w:rPr>
                <w:rFonts w:ascii="Arial" w:hAnsi="Arial" w:cs="Arial"/>
                <w:sz w:val="24"/>
                <w:szCs w:val="24"/>
                <w:lang w:eastAsia="en-GB"/>
              </w:rPr>
              <w:t>(311.1)</w:t>
            </w:r>
          </w:p>
        </w:tc>
        <w:tc>
          <w:tcPr>
            <w:tcW w:w="1407" w:type="dxa"/>
            <w:shd w:val="clear" w:color="auto" w:fill="auto"/>
            <w:noWrap/>
            <w:vAlign w:val="center"/>
          </w:tcPr>
          <w:p w14:paraId="0DF694C5" w14:textId="77777777" w:rsidR="000A27AF" w:rsidRPr="00B7485F" w:rsidRDefault="000A27AF" w:rsidP="00BD14BB">
            <w:pPr>
              <w:overflowPunct w:val="0"/>
              <w:autoSpaceDE w:val="0"/>
              <w:autoSpaceDN w:val="0"/>
              <w:adjustRightInd w:val="0"/>
              <w:spacing w:after="0" w:line="240" w:lineRule="auto"/>
              <w:jc w:val="center"/>
              <w:textAlignment w:val="baseline"/>
              <w:rPr>
                <w:rFonts w:ascii="Arial" w:hAnsi="Arial" w:cs="Arial"/>
                <w:sz w:val="24"/>
                <w:szCs w:val="24"/>
                <w:lang w:eastAsia="en-GB"/>
              </w:rPr>
            </w:pPr>
            <w:r w:rsidRPr="00B7485F">
              <w:rPr>
                <w:rFonts w:ascii="Arial" w:hAnsi="Arial" w:cs="Arial"/>
                <w:sz w:val="24"/>
                <w:szCs w:val="24"/>
                <w:lang w:eastAsia="en-GB"/>
              </w:rPr>
              <w:t>(1.0)</w:t>
            </w:r>
          </w:p>
        </w:tc>
      </w:tr>
      <w:tr w:rsidR="000A27AF" w:rsidRPr="00B7485F" w14:paraId="3302D6CC" w14:textId="77777777" w:rsidTr="00BD14BB">
        <w:trPr>
          <w:trHeight w:val="385"/>
          <w:jc w:val="center"/>
        </w:trPr>
        <w:tc>
          <w:tcPr>
            <w:tcW w:w="3397" w:type="dxa"/>
            <w:vAlign w:val="center"/>
          </w:tcPr>
          <w:p w14:paraId="2EFAFB2A" w14:textId="77777777" w:rsidR="000A27AF" w:rsidRPr="00B7485F" w:rsidRDefault="000A27AF" w:rsidP="00BD14BB">
            <w:pPr>
              <w:overflowPunct w:val="0"/>
              <w:autoSpaceDE w:val="0"/>
              <w:autoSpaceDN w:val="0"/>
              <w:adjustRightInd w:val="0"/>
              <w:spacing w:after="0" w:line="240" w:lineRule="auto"/>
              <w:textAlignment w:val="baseline"/>
              <w:rPr>
                <w:rFonts w:ascii="Arial" w:hAnsi="Arial" w:cs="Arial"/>
                <w:b/>
                <w:bCs/>
                <w:sz w:val="24"/>
                <w:szCs w:val="24"/>
                <w:lang w:eastAsia="en-GB"/>
              </w:rPr>
            </w:pPr>
            <w:r w:rsidRPr="00B7485F">
              <w:rPr>
                <w:rFonts w:ascii="Arial" w:hAnsi="Arial" w:cs="Arial"/>
                <w:b/>
                <w:bCs/>
                <w:sz w:val="24"/>
                <w:szCs w:val="24"/>
                <w:lang w:eastAsia="en-GB"/>
              </w:rPr>
              <w:t>Grand Total</w:t>
            </w:r>
          </w:p>
        </w:tc>
        <w:tc>
          <w:tcPr>
            <w:tcW w:w="1418" w:type="dxa"/>
            <w:vAlign w:val="center"/>
          </w:tcPr>
          <w:p w14:paraId="6D824DCD" w14:textId="77777777" w:rsidR="000A27AF" w:rsidRPr="00B7485F" w:rsidRDefault="000A27AF" w:rsidP="00BD14BB">
            <w:pPr>
              <w:overflowPunct w:val="0"/>
              <w:autoSpaceDE w:val="0"/>
              <w:autoSpaceDN w:val="0"/>
              <w:adjustRightInd w:val="0"/>
              <w:spacing w:after="0" w:line="240" w:lineRule="auto"/>
              <w:jc w:val="center"/>
              <w:textAlignment w:val="baseline"/>
              <w:rPr>
                <w:rFonts w:ascii="Arial" w:hAnsi="Arial" w:cs="Arial"/>
                <w:b/>
                <w:bCs/>
                <w:sz w:val="24"/>
                <w:szCs w:val="24"/>
                <w:lang w:eastAsia="en-GB"/>
              </w:rPr>
            </w:pPr>
            <w:r w:rsidRPr="00B7485F">
              <w:rPr>
                <w:rFonts w:ascii="Arial" w:hAnsi="Arial" w:cs="Arial"/>
                <w:b/>
                <w:bCs/>
                <w:sz w:val="24"/>
                <w:szCs w:val="24"/>
                <w:lang w:eastAsia="en-GB"/>
              </w:rPr>
              <w:t>(0.0)</w:t>
            </w:r>
          </w:p>
        </w:tc>
        <w:tc>
          <w:tcPr>
            <w:tcW w:w="1417" w:type="dxa"/>
            <w:shd w:val="clear" w:color="auto" w:fill="auto"/>
            <w:noWrap/>
            <w:vAlign w:val="center"/>
          </w:tcPr>
          <w:p w14:paraId="3AEF9F9E" w14:textId="77777777" w:rsidR="000A27AF" w:rsidRPr="00B7485F" w:rsidRDefault="000A27AF" w:rsidP="00BD14BB">
            <w:pPr>
              <w:overflowPunct w:val="0"/>
              <w:autoSpaceDE w:val="0"/>
              <w:autoSpaceDN w:val="0"/>
              <w:adjustRightInd w:val="0"/>
              <w:spacing w:after="0" w:line="240" w:lineRule="auto"/>
              <w:jc w:val="center"/>
              <w:textAlignment w:val="baseline"/>
              <w:rPr>
                <w:rFonts w:ascii="Arial" w:hAnsi="Arial" w:cs="Arial"/>
                <w:b/>
                <w:bCs/>
                <w:sz w:val="24"/>
                <w:szCs w:val="24"/>
                <w:lang w:eastAsia="en-GB"/>
              </w:rPr>
            </w:pPr>
            <w:r w:rsidRPr="00B7485F">
              <w:rPr>
                <w:rFonts w:ascii="Arial" w:hAnsi="Arial" w:cs="Arial"/>
                <w:b/>
                <w:bCs/>
                <w:sz w:val="24"/>
                <w:szCs w:val="24"/>
                <w:lang w:eastAsia="en-GB"/>
              </w:rPr>
              <w:t>(0.8)</w:t>
            </w:r>
          </w:p>
        </w:tc>
        <w:tc>
          <w:tcPr>
            <w:tcW w:w="1407" w:type="dxa"/>
            <w:shd w:val="clear" w:color="auto" w:fill="auto"/>
            <w:noWrap/>
            <w:vAlign w:val="center"/>
          </w:tcPr>
          <w:p w14:paraId="15CB4AD7" w14:textId="77777777" w:rsidR="000A27AF" w:rsidRPr="00B7485F" w:rsidRDefault="000A27AF" w:rsidP="00BD14BB">
            <w:pPr>
              <w:overflowPunct w:val="0"/>
              <w:autoSpaceDE w:val="0"/>
              <w:autoSpaceDN w:val="0"/>
              <w:adjustRightInd w:val="0"/>
              <w:spacing w:after="0" w:line="240" w:lineRule="auto"/>
              <w:jc w:val="center"/>
              <w:textAlignment w:val="baseline"/>
              <w:rPr>
                <w:rFonts w:ascii="Arial" w:hAnsi="Arial" w:cs="Arial"/>
                <w:b/>
                <w:bCs/>
                <w:sz w:val="24"/>
                <w:szCs w:val="24"/>
                <w:lang w:eastAsia="en-GB"/>
              </w:rPr>
            </w:pPr>
            <w:r w:rsidRPr="00B7485F">
              <w:rPr>
                <w:rFonts w:ascii="Arial" w:hAnsi="Arial" w:cs="Arial"/>
                <w:b/>
                <w:bCs/>
                <w:sz w:val="24"/>
                <w:szCs w:val="24"/>
                <w:lang w:eastAsia="en-GB"/>
              </w:rPr>
              <w:t>(0.8)</w:t>
            </w:r>
          </w:p>
        </w:tc>
      </w:tr>
    </w:tbl>
    <w:p w14:paraId="0EF72EE6" w14:textId="77777777" w:rsidR="000A27AF" w:rsidRPr="00B7485F" w:rsidRDefault="000A27AF" w:rsidP="000A27AF">
      <w:pPr>
        <w:rPr>
          <w:rFonts w:ascii="Arial" w:hAnsi="Arial" w:cs="Arial"/>
          <w:color w:val="000000"/>
          <w:sz w:val="24"/>
          <w:szCs w:val="24"/>
        </w:rPr>
      </w:pPr>
    </w:p>
    <w:p w14:paraId="3BCED86A" w14:textId="77777777" w:rsidR="000A27AF" w:rsidRPr="00B7485F" w:rsidRDefault="000A27AF" w:rsidP="000A27AF">
      <w:pPr>
        <w:pStyle w:val="ListParagraph"/>
        <w:autoSpaceDE w:val="0"/>
        <w:autoSpaceDN w:val="0"/>
        <w:adjustRightInd w:val="0"/>
        <w:spacing w:after="0" w:line="240" w:lineRule="auto"/>
        <w:ind w:left="360"/>
        <w:jc w:val="both"/>
        <w:rPr>
          <w:rFonts w:ascii="Arial" w:hAnsi="Arial" w:cs="Arial"/>
          <w:color w:val="000000"/>
          <w:sz w:val="24"/>
          <w:szCs w:val="24"/>
        </w:rPr>
      </w:pPr>
      <w:r w:rsidRPr="00B7485F">
        <w:rPr>
          <w:rFonts w:ascii="Arial" w:hAnsi="Arial" w:cs="Arial"/>
          <w:color w:val="000000"/>
          <w:sz w:val="24"/>
          <w:szCs w:val="24"/>
        </w:rPr>
        <w:t>A more detailed report can be found on the Police and Crime Panel agenda for 3</w:t>
      </w:r>
      <w:r w:rsidRPr="00B7485F">
        <w:rPr>
          <w:rFonts w:ascii="Arial" w:hAnsi="Arial" w:cs="Arial"/>
          <w:color w:val="000000"/>
          <w:sz w:val="24"/>
          <w:szCs w:val="24"/>
          <w:vertAlign w:val="superscript"/>
        </w:rPr>
        <w:t>rd</w:t>
      </w:r>
      <w:r w:rsidRPr="00B7485F">
        <w:rPr>
          <w:rFonts w:ascii="Arial" w:hAnsi="Arial" w:cs="Arial"/>
          <w:color w:val="000000"/>
          <w:sz w:val="24"/>
          <w:szCs w:val="24"/>
        </w:rPr>
        <w:t xml:space="preserve"> February 2025. </w:t>
      </w:r>
    </w:p>
    <w:p w14:paraId="09513074" w14:textId="77777777" w:rsidR="000A27AF" w:rsidRPr="00B7485F" w:rsidRDefault="000A27AF" w:rsidP="000A27AF">
      <w:pPr>
        <w:pStyle w:val="ListParagraph"/>
        <w:autoSpaceDE w:val="0"/>
        <w:autoSpaceDN w:val="0"/>
        <w:adjustRightInd w:val="0"/>
        <w:spacing w:after="0" w:line="240" w:lineRule="auto"/>
        <w:ind w:left="360"/>
        <w:jc w:val="both"/>
        <w:rPr>
          <w:rFonts w:ascii="Arial" w:hAnsi="Arial" w:cs="Arial"/>
          <w:color w:val="000000"/>
          <w:sz w:val="24"/>
          <w:szCs w:val="24"/>
        </w:rPr>
      </w:pPr>
    </w:p>
    <w:p w14:paraId="0ABC92BB" w14:textId="77777777" w:rsidR="000A27AF" w:rsidRPr="00B7485F"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B7485F">
        <w:rPr>
          <w:rFonts w:ascii="Arial" w:hAnsi="Arial" w:cs="Arial"/>
          <w:color w:val="000000"/>
          <w:sz w:val="24"/>
          <w:szCs w:val="24"/>
        </w:rPr>
        <w:t xml:space="preserve">As at month 8 the Surrey Police Group is predicting an underspend of £0.8m which equates to 0.25% of the overall budget. The underspend in the main is due to the early achievement of savings which will be applied against the savings required in 2025/26. </w:t>
      </w:r>
    </w:p>
    <w:p w14:paraId="7F55D96F" w14:textId="77777777" w:rsidR="000A27AF" w:rsidRPr="00B7485F" w:rsidRDefault="000A27AF" w:rsidP="000A27AF">
      <w:pPr>
        <w:autoSpaceDE w:val="0"/>
        <w:autoSpaceDN w:val="0"/>
        <w:adjustRightInd w:val="0"/>
        <w:spacing w:after="0" w:line="240" w:lineRule="auto"/>
        <w:rPr>
          <w:rFonts w:ascii="Arial" w:hAnsi="Arial" w:cs="Arial"/>
          <w:color w:val="000000"/>
          <w:sz w:val="24"/>
          <w:szCs w:val="24"/>
        </w:rPr>
      </w:pPr>
    </w:p>
    <w:p w14:paraId="1B837ECC" w14:textId="77777777" w:rsidR="000A27AF" w:rsidRPr="0050145D" w:rsidRDefault="000A27AF" w:rsidP="000A27AF">
      <w:pPr>
        <w:rPr>
          <w:rFonts w:ascii="Arial" w:hAnsi="Arial" w:cs="Arial"/>
          <w:color w:val="000000"/>
          <w:sz w:val="24"/>
          <w:szCs w:val="24"/>
          <w:highlight w:val="yellow"/>
        </w:rPr>
      </w:pPr>
      <w:r w:rsidRPr="0050145D">
        <w:rPr>
          <w:rFonts w:ascii="Arial" w:hAnsi="Arial" w:cs="Arial"/>
          <w:color w:val="000000"/>
          <w:sz w:val="24"/>
          <w:szCs w:val="24"/>
          <w:highlight w:val="yellow"/>
        </w:rPr>
        <w:br w:type="page"/>
      </w:r>
    </w:p>
    <w:p w14:paraId="1EA41B2C" w14:textId="77777777" w:rsidR="000A27AF" w:rsidRPr="0050145D" w:rsidRDefault="000A27AF" w:rsidP="000A27AF">
      <w:pPr>
        <w:autoSpaceDE w:val="0"/>
        <w:autoSpaceDN w:val="0"/>
        <w:adjustRightInd w:val="0"/>
        <w:spacing w:after="0" w:line="240" w:lineRule="auto"/>
        <w:rPr>
          <w:rFonts w:ascii="Arial" w:hAnsi="Arial" w:cs="Arial"/>
          <w:color w:val="000000"/>
          <w:sz w:val="24"/>
          <w:szCs w:val="24"/>
          <w:highlight w:val="yellow"/>
        </w:rPr>
      </w:pPr>
    </w:p>
    <w:p w14:paraId="18B33044" w14:textId="77777777" w:rsidR="000A27AF" w:rsidRPr="00A72B55" w:rsidRDefault="000A27AF" w:rsidP="000A27AF">
      <w:pPr>
        <w:pStyle w:val="ListParagraph"/>
        <w:autoSpaceDE w:val="0"/>
        <w:autoSpaceDN w:val="0"/>
        <w:adjustRightInd w:val="0"/>
        <w:spacing w:after="0" w:line="240" w:lineRule="auto"/>
        <w:ind w:left="360"/>
        <w:rPr>
          <w:rFonts w:ascii="Arial" w:hAnsi="Arial" w:cs="Arial"/>
          <w:color w:val="000000"/>
          <w:sz w:val="24"/>
          <w:szCs w:val="24"/>
          <w:u w:val="single"/>
        </w:rPr>
      </w:pPr>
      <w:r w:rsidRPr="00A72B55">
        <w:rPr>
          <w:rFonts w:ascii="Arial" w:hAnsi="Arial" w:cs="Arial"/>
          <w:color w:val="000000"/>
          <w:sz w:val="24"/>
          <w:szCs w:val="24"/>
          <w:u w:val="single"/>
        </w:rPr>
        <w:t>Proposed Revenue Budget for 2025/26</w:t>
      </w:r>
    </w:p>
    <w:p w14:paraId="2D4F6CE8" w14:textId="77777777" w:rsidR="000A27AF" w:rsidRPr="00A72B55" w:rsidRDefault="000A27AF" w:rsidP="000A27AF">
      <w:pPr>
        <w:pStyle w:val="ListParagraph"/>
        <w:autoSpaceDE w:val="0"/>
        <w:autoSpaceDN w:val="0"/>
        <w:adjustRightInd w:val="0"/>
        <w:spacing w:after="0" w:line="240" w:lineRule="auto"/>
        <w:ind w:left="360"/>
        <w:rPr>
          <w:rFonts w:ascii="Arial" w:hAnsi="Arial" w:cs="Arial"/>
          <w:color w:val="000000"/>
          <w:sz w:val="24"/>
          <w:szCs w:val="24"/>
        </w:rPr>
      </w:pPr>
    </w:p>
    <w:p w14:paraId="5B11CFB4" w14:textId="77777777" w:rsidR="000A27AF" w:rsidRPr="00A72B55" w:rsidRDefault="000A27AF" w:rsidP="000A27AF">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A72B55">
        <w:rPr>
          <w:rFonts w:ascii="Arial" w:hAnsi="Arial" w:cs="Arial"/>
          <w:color w:val="000000"/>
          <w:sz w:val="24"/>
          <w:szCs w:val="24"/>
        </w:rPr>
        <w:t>A summary of the 2025/26 net revenue budget is below:</w:t>
      </w:r>
    </w:p>
    <w:p w14:paraId="555A1AE9" w14:textId="77777777" w:rsidR="000A27AF" w:rsidRPr="00A72B55" w:rsidRDefault="000A27AF" w:rsidP="000A27AF">
      <w:pPr>
        <w:pStyle w:val="ListParagraph"/>
        <w:autoSpaceDE w:val="0"/>
        <w:autoSpaceDN w:val="0"/>
        <w:adjustRightInd w:val="0"/>
        <w:spacing w:after="0" w:line="240" w:lineRule="auto"/>
        <w:ind w:left="360"/>
        <w:rPr>
          <w:rFonts w:ascii="Arial" w:hAnsi="Arial" w:cs="Arial"/>
          <w:color w:val="000000"/>
          <w:sz w:val="24"/>
          <w:szCs w:val="24"/>
        </w:rPr>
      </w:pPr>
    </w:p>
    <w:p w14:paraId="7CC73368" w14:textId="77777777" w:rsidR="000A27AF" w:rsidRPr="00A72B55" w:rsidRDefault="000A27AF" w:rsidP="000A27AF">
      <w:pPr>
        <w:pStyle w:val="ListParagraph"/>
        <w:autoSpaceDE w:val="0"/>
        <w:autoSpaceDN w:val="0"/>
        <w:adjustRightInd w:val="0"/>
        <w:spacing w:after="0" w:line="240" w:lineRule="auto"/>
        <w:ind w:left="360"/>
        <w:jc w:val="center"/>
        <w:rPr>
          <w:rFonts w:ascii="Arial" w:hAnsi="Arial" w:cs="Arial"/>
          <w:color w:val="000000"/>
          <w:sz w:val="24"/>
          <w:szCs w:val="24"/>
        </w:rPr>
      </w:pPr>
    </w:p>
    <w:p w14:paraId="010C2A06" w14:textId="77777777" w:rsidR="000A27AF" w:rsidRPr="0050145D" w:rsidRDefault="000A27AF" w:rsidP="000A27AF">
      <w:pPr>
        <w:pStyle w:val="ListParagraph"/>
        <w:autoSpaceDE w:val="0"/>
        <w:autoSpaceDN w:val="0"/>
        <w:adjustRightInd w:val="0"/>
        <w:spacing w:after="0" w:line="240" w:lineRule="auto"/>
        <w:ind w:left="360"/>
        <w:jc w:val="center"/>
        <w:rPr>
          <w:rFonts w:ascii="Arial" w:hAnsi="Arial" w:cs="Arial"/>
          <w:color w:val="000000"/>
          <w:sz w:val="24"/>
          <w:szCs w:val="24"/>
          <w:highlight w:val="yellow"/>
        </w:rPr>
      </w:pPr>
      <w:r w:rsidRPr="008D0C11">
        <w:rPr>
          <w:noProof/>
        </w:rPr>
        <w:drawing>
          <wp:inline distT="0" distB="0" distL="0" distR="0" wp14:anchorId="1306C40B" wp14:editId="059B9C89">
            <wp:extent cx="3230758" cy="7391400"/>
            <wp:effectExtent l="0" t="0" r="8255" b="0"/>
            <wp:docPr id="5706881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46035" cy="7426352"/>
                    </a:xfrm>
                    <a:prstGeom prst="rect">
                      <a:avLst/>
                    </a:prstGeom>
                    <a:noFill/>
                    <a:ln>
                      <a:noFill/>
                    </a:ln>
                  </pic:spPr>
                </pic:pic>
              </a:graphicData>
            </a:graphic>
          </wp:inline>
        </w:drawing>
      </w:r>
    </w:p>
    <w:p w14:paraId="4AB4EACA" w14:textId="77777777" w:rsidR="000A27AF" w:rsidRPr="0007115D" w:rsidRDefault="000A27AF" w:rsidP="000A27AF">
      <w:pPr>
        <w:pStyle w:val="ListParagraph"/>
        <w:autoSpaceDE w:val="0"/>
        <w:autoSpaceDN w:val="0"/>
        <w:adjustRightInd w:val="0"/>
        <w:spacing w:after="0" w:line="240" w:lineRule="auto"/>
        <w:ind w:left="360"/>
        <w:rPr>
          <w:rFonts w:ascii="Arial" w:hAnsi="Arial" w:cs="Arial"/>
          <w:color w:val="000000"/>
          <w:sz w:val="24"/>
          <w:szCs w:val="24"/>
        </w:rPr>
      </w:pPr>
    </w:p>
    <w:p w14:paraId="19A03395" w14:textId="77777777" w:rsidR="000A27AF" w:rsidRPr="0007115D"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07115D">
        <w:rPr>
          <w:rFonts w:ascii="Arial" w:hAnsi="Arial" w:cs="Arial"/>
          <w:color w:val="000000"/>
          <w:sz w:val="24"/>
          <w:szCs w:val="24"/>
        </w:rPr>
        <w:lastRenderedPageBreak/>
        <w:t>The total group budget is under the control of the Police and Crime Commissioner. However, almost 99% of it is delegated by the PCC to the Chief Constable to fund all day-to-day operational policing activities. The PCC retains a small part of the budget for the running costs of the Office of the Police and Crime Commissioner including Governance as well as providing and commissioning services in areas such as custody visitors, community safety, victim support and crime prevention. A breakdown of the OPCC budget is shown below:</w:t>
      </w:r>
    </w:p>
    <w:p w14:paraId="31E7A529" w14:textId="77777777" w:rsidR="000A27AF" w:rsidRPr="0007115D" w:rsidRDefault="000A27AF" w:rsidP="000A27AF">
      <w:pPr>
        <w:pStyle w:val="ListParagraph"/>
        <w:autoSpaceDE w:val="0"/>
        <w:autoSpaceDN w:val="0"/>
        <w:adjustRightInd w:val="0"/>
        <w:spacing w:after="0" w:line="240" w:lineRule="auto"/>
        <w:ind w:left="360"/>
        <w:jc w:val="both"/>
        <w:rPr>
          <w:rFonts w:ascii="Arial" w:hAnsi="Arial" w:cs="Arial"/>
          <w:color w:val="000000"/>
          <w:sz w:val="24"/>
          <w:szCs w:val="24"/>
        </w:rPr>
      </w:pPr>
    </w:p>
    <w:p w14:paraId="1EB7DB0E" w14:textId="77777777" w:rsidR="000A27AF" w:rsidRPr="0050145D" w:rsidRDefault="000A27AF" w:rsidP="000A27AF">
      <w:pPr>
        <w:pStyle w:val="ListParagraph"/>
        <w:autoSpaceDE w:val="0"/>
        <w:autoSpaceDN w:val="0"/>
        <w:adjustRightInd w:val="0"/>
        <w:spacing w:after="0" w:line="240" w:lineRule="auto"/>
        <w:ind w:left="360"/>
        <w:jc w:val="both"/>
        <w:rPr>
          <w:rFonts w:ascii="Arial" w:hAnsi="Arial" w:cs="Arial"/>
          <w:color w:val="000000"/>
          <w:sz w:val="24"/>
          <w:szCs w:val="24"/>
          <w:highlight w:val="yellow"/>
        </w:rPr>
      </w:pPr>
      <w:r w:rsidRPr="0050145D">
        <w:rPr>
          <w:rFonts w:ascii="Arial" w:hAnsi="Arial" w:cs="Arial"/>
          <w:color w:val="000000"/>
          <w:sz w:val="24"/>
          <w:szCs w:val="24"/>
          <w:highlight w:val="yellow"/>
        </w:rPr>
        <w:t xml:space="preserve"> </w:t>
      </w:r>
    </w:p>
    <w:tbl>
      <w:tblPr>
        <w:tblStyle w:val="TableGrid"/>
        <w:tblW w:w="0" w:type="auto"/>
        <w:tblInd w:w="421" w:type="dxa"/>
        <w:tblLook w:val="04A0" w:firstRow="1" w:lastRow="0" w:firstColumn="1" w:lastColumn="0" w:noHBand="0" w:noVBand="1"/>
      </w:tblPr>
      <w:tblGrid>
        <w:gridCol w:w="3500"/>
        <w:gridCol w:w="1743"/>
        <w:gridCol w:w="1800"/>
        <w:gridCol w:w="1552"/>
      </w:tblGrid>
      <w:tr w:rsidR="000A27AF" w:rsidRPr="00B76F59" w14:paraId="4D7FC520" w14:textId="77777777" w:rsidTr="00BD14BB">
        <w:tc>
          <w:tcPr>
            <w:tcW w:w="3500" w:type="dxa"/>
          </w:tcPr>
          <w:p w14:paraId="0E5B74AA" w14:textId="77777777" w:rsidR="000A27AF" w:rsidRPr="00B76F59" w:rsidRDefault="000A27AF" w:rsidP="00BD14BB">
            <w:pPr>
              <w:pStyle w:val="NoSpacing"/>
              <w:spacing w:before="120"/>
              <w:jc w:val="both"/>
              <w:rPr>
                <w:rFonts w:ascii="Arial" w:hAnsi="Arial" w:cs="Arial"/>
                <w:snapToGrid w:val="0"/>
                <w:sz w:val="24"/>
                <w:szCs w:val="24"/>
              </w:rPr>
            </w:pPr>
          </w:p>
        </w:tc>
        <w:tc>
          <w:tcPr>
            <w:tcW w:w="1743" w:type="dxa"/>
          </w:tcPr>
          <w:p w14:paraId="659769A9" w14:textId="77777777" w:rsidR="000A27AF" w:rsidRPr="00B76F59" w:rsidRDefault="000A27AF" w:rsidP="00BD14BB">
            <w:pPr>
              <w:pStyle w:val="NoSpacing"/>
              <w:spacing w:before="120"/>
              <w:jc w:val="center"/>
              <w:rPr>
                <w:rFonts w:ascii="Arial" w:hAnsi="Arial" w:cs="Arial"/>
                <w:b/>
                <w:bCs/>
                <w:snapToGrid w:val="0"/>
                <w:sz w:val="24"/>
                <w:szCs w:val="24"/>
              </w:rPr>
            </w:pPr>
            <w:r w:rsidRPr="00B76F59">
              <w:rPr>
                <w:rFonts w:ascii="Arial" w:hAnsi="Arial" w:cs="Arial"/>
                <w:b/>
                <w:bCs/>
                <w:snapToGrid w:val="0"/>
                <w:sz w:val="24"/>
                <w:szCs w:val="24"/>
              </w:rPr>
              <w:t>2024/25</w:t>
            </w:r>
          </w:p>
          <w:p w14:paraId="7CBD524E" w14:textId="77777777" w:rsidR="000A27AF" w:rsidRPr="00B76F59" w:rsidRDefault="000A27AF" w:rsidP="00BD14BB">
            <w:pPr>
              <w:pStyle w:val="NoSpacing"/>
              <w:spacing w:before="120"/>
              <w:jc w:val="center"/>
              <w:rPr>
                <w:rFonts w:ascii="Arial" w:hAnsi="Arial" w:cs="Arial"/>
                <w:b/>
                <w:bCs/>
                <w:snapToGrid w:val="0"/>
                <w:sz w:val="24"/>
                <w:szCs w:val="24"/>
              </w:rPr>
            </w:pPr>
            <w:r w:rsidRPr="00B76F59">
              <w:rPr>
                <w:rFonts w:ascii="Arial" w:hAnsi="Arial" w:cs="Arial"/>
                <w:b/>
                <w:bCs/>
                <w:snapToGrid w:val="0"/>
                <w:sz w:val="24"/>
                <w:szCs w:val="24"/>
              </w:rPr>
              <w:t>£m</w:t>
            </w:r>
          </w:p>
        </w:tc>
        <w:tc>
          <w:tcPr>
            <w:tcW w:w="1800" w:type="dxa"/>
          </w:tcPr>
          <w:p w14:paraId="060B7958" w14:textId="77777777" w:rsidR="000A27AF" w:rsidRPr="00B76F59" w:rsidRDefault="000A27AF" w:rsidP="00BD14BB">
            <w:pPr>
              <w:pStyle w:val="NoSpacing"/>
              <w:spacing w:before="120"/>
              <w:jc w:val="center"/>
              <w:rPr>
                <w:rFonts w:ascii="Arial" w:hAnsi="Arial" w:cs="Arial"/>
                <w:b/>
                <w:bCs/>
                <w:snapToGrid w:val="0"/>
                <w:sz w:val="24"/>
                <w:szCs w:val="24"/>
              </w:rPr>
            </w:pPr>
            <w:r w:rsidRPr="00B76F59">
              <w:rPr>
                <w:rFonts w:ascii="Arial" w:hAnsi="Arial" w:cs="Arial"/>
                <w:b/>
                <w:bCs/>
                <w:snapToGrid w:val="0"/>
                <w:sz w:val="24"/>
                <w:szCs w:val="24"/>
              </w:rPr>
              <w:t>2025/26</w:t>
            </w:r>
          </w:p>
          <w:p w14:paraId="013AD3F4" w14:textId="77777777" w:rsidR="000A27AF" w:rsidRPr="00B76F59" w:rsidRDefault="000A27AF" w:rsidP="00BD14BB">
            <w:pPr>
              <w:pStyle w:val="NoSpacing"/>
              <w:spacing w:before="120"/>
              <w:jc w:val="center"/>
              <w:rPr>
                <w:rFonts w:ascii="Arial" w:hAnsi="Arial" w:cs="Arial"/>
                <w:b/>
                <w:bCs/>
                <w:snapToGrid w:val="0"/>
                <w:sz w:val="24"/>
                <w:szCs w:val="24"/>
              </w:rPr>
            </w:pPr>
            <w:r w:rsidRPr="00B76F59">
              <w:rPr>
                <w:rFonts w:ascii="Arial" w:hAnsi="Arial" w:cs="Arial"/>
                <w:b/>
                <w:bCs/>
                <w:snapToGrid w:val="0"/>
                <w:sz w:val="24"/>
                <w:szCs w:val="24"/>
              </w:rPr>
              <w:t>£m</w:t>
            </w:r>
          </w:p>
        </w:tc>
        <w:tc>
          <w:tcPr>
            <w:tcW w:w="1552" w:type="dxa"/>
          </w:tcPr>
          <w:p w14:paraId="48E1E6D8" w14:textId="77777777" w:rsidR="000A27AF" w:rsidRPr="00B76F59" w:rsidRDefault="000A27AF" w:rsidP="00BD14BB">
            <w:pPr>
              <w:pStyle w:val="NoSpacing"/>
              <w:spacing w:before="120"/>
              <w:jc w:val="center"/>
              <w:rPr>
                <w:rFonts w:ascii="Arial" w:hAnsi="Arial" w:cs="Arial"/>
                <w:b/>
                <w:bCs/>
                <w:snapToGrid w:val="0"/>
                <w:sz w:val="24"/>
                <w:szCs w:val="24"/>
              </w:rPr>
            </w:pPr>
            <w:r w:rsidRPr="00B76F59">
              <w:rPr>
                <w:rFonts w:ascii="Arial" w:hAnsi="Arial" w:cs="Arial"/>
                <w:b/>
                <w:bCs/>
                <w:snapToGrid w:val="0"/>
                <w:sz w:val="24"/>
                <w:szCs w:val="24"/>
              </w:rPr>
              <w:t>Change</w:t>
            </w:r>
          </w:p>
          <w:p w14:paraId="1D61D6F2" w14:textId="77777777" w:rsidR="000A27AF" w:rsidRPr="00B76F59" w:rsidRDefault="000A27AF" w:rsidP="00BD14BB">
            <w:pPr>
              <w:pStyle w:val="NoSpacing"/>
              <w:spacing w:before="120"/>
              <w:jc w:val="center"/>
              <w:rPr>
                <w:rFonts w:ascii="Arial" w:hAnsi="Arial" w:cs="Arial"/>
                <w:b/>
                <w:bCs/>
                <w:snapToGrid w:val="0"/>
                <w:sz w:val="24"/>
                <w:szCs w:val="24"/>
              </w:rPr>
            </w:pPr>
            <w:r w:rsidRPr="00B76F59">
              <w:rPr>
                <w:rFonts w:ascii="Arial" w:hAnsi="Arial" w:cs="Arial"/>
                <w:b/>
                <w:bCs/>
                <w:snapToGrid w:val="0"/>
                <w:sz w:val="24"/>
                <w:szCs w:val="24"/>
              </w:rPr>
              <w:t>£m</w:t>
            </w:r>
          </w:p>
        </w:tc>
      </w:tr>
      <w:tr w:rsidR="000A27AF" w:rsidRPr="00B76F59" w14:paraId="77A734EF" w14:textId="77777777" w:rsidTr="00BD14BB">
        <w:tc>
          <w:tcPr>
            <w:tcW w:w="3500" w:type="dxa"/>
          </w:tcPr>
          <w:p w14:paraId="39BA33D8"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OPCC Net Operational Costs</w:t>
            </w:r>
          </w:p>
        </w:tc>
        <w:tc>
          <w:tcPr>
            <w:tcW w:w="1743" w:type="dxa"/>
          </w:tcPr>
          <w:p w14:paraId="3763A96E" w14:textId="77777777" w:rsidR="000A27AF" w:rsidRPr="00B76F59" w:rsidRDefault="000A27AF" w:rsidP="00BD14BB">
            <w:pPr>
              <w:pStyle w:val="NoSpacing"/>
              <w:spacing w:before="120"/>
              <w:jc w:val="center"/>
              <w:rPr>
                <w:rFonts w:ascii="Arial" w:hAnsi="Arial" w:cs="Arial"/>
                <w:snapToGrid w:val="0"/>
                <w:sz w:val="24"/>
                <w:szCs w:val="24"/>
              </w:rPr>
            </w:pPr>
            <w:r w:rsidRPr="00B76F59">
              <w:rPr>
                <w:rFonts w:ascii="Arial" w:hAnsi="Arial" w:cs="Arial"/>
                <w:snapToGrid w:val="0"/>
                <w:sz w:val="24"/>
                <w:szCs w:val="24"/>
              </w:rPr>
              <w:t>1.669</w:t>
            </w:r>
          </w:p>
        </w:tc>
        <w:tc>
          <w:tcPr>
            <w:tcW w:w="1800" w:type="dxa"/>
          </w:tcPr>
          <w:p w14:paraId="0567B123" w14:textId="77777777" w:rsidR="000A27AF" w:rsidRPr="00B76F59" w:rsidRDefault="000A27AF" w:rsidP="00BD14BB">
            <w:pPr>
              <w:pStyle w:val="NoSpacing"/>
              <w:spacing w:before="120"/>
              <w:jc w:val="center"/>
              <w:rPr>
                <w:rFonts w:ascii="Arial" w:hAnsi="Arial" w:cs="Arial"/>
                <w:snapToGrid w:val="0"/>
                <w:sz w:val="24"/>
                <w:szCs w:val="24"/>
              </w:rPr>
            </w:pPr>
            <w:r w:rsidRPr="00B76F59">
              <w:rPr>
                <w:rFonts w:ascii="Arial" w:hAnsi="Arial" w:cs="Arial"/>
                <w:snapToGrid w:val="0"/>
                <w:sz w:val="24"/>
                <w:szCs w:val="24"/>
              </w:rPr>
              <w:t>1.749</w:t>
            </w:r>
          </w:p>
        </w:tc>
        <w:tc>
          <w:tcPr>
            <w:tcW w:w="1552" w:type="dxa"/>
          </w:tcPr>
          <w:p w14:paraId="76034CD3" w14:textId="77777777" w:rsidR="000A27AF" w:rsidRPr="00B76F59" w:rsidRDefault="000A27AF" w:rsidP="00BD14BB">
            <w:pPr>
              <w:pStyle w:val="NoSpacing"/>
              <w:spacing w:before="120"/>
              <w:jc w:val="center"/>
              <w:rPr>
                <w:rFonts w:ascii="Arial" w:hAnsi="Arial" w:cs="Arial"/>
                <w:snapToGrid w:val="0"/>
                <w:sz w:val="24"/>
                <w:szCs w:val="24"/>
              </w:rPr>
            </w:pPr>
            <w:r w:rsidRPr="00B76F59">
              <w:rPr>
                <w:rFonts w:ascii="Arial" w:hAnsi="Arial" w:cs="Arial"/>
                <w:snapToGrid w:val="0"/>
                <w:sz w:val="24"/>
                <w:szCs w:val="24"/>
              </w:rPr>
              <w:t>0.080</w:t>
            </w:r>
          </w:p>
        </w:tc>
      </w:tr>
      <w:tr w:rsidR="000A27AF" w:rsidRPr="00B76F59" w14:paraId="39FDF058" w14:textId="77777777" w:rsidTr="00BD14BB">
        <w:tc>
          <w:tcPr>
            <w:tcW w:w="3500" w:type="dxa"/>
          </w:tcPr>
          <w:p w14:paraId="64A69F72" w14:textId="77777777" w:rsidR="000A27AF" w:rsidRPr="00B76F59" w:rsidRDefault="000A27AF" w:rsidP="00BD14BB">
            <w:pPr>
              <w:pStyle w:val="NoSpacing"/>
              <w:spacing w:before="120"/>
              <w:rPr>
                <w:rFonts w:ascii="Arial" w:hAnsi="Arial" w:cs="Arial"/>
                <w:snapToGrid w:val="0"/>
                <w:sz w:val="24"/>
                <w:szCs w:val="24"/>
              </w:rPr>
            </w:pPr>
            <w:r w:rsidRPr="00B76F59">
              <w:rPr>
                <w:rFonts w:ascii="Arial" w:hAnsi="Arial" w:cs="Arial"/>
                <w:snapToGrid w:val="0"/>
                <w:sz w:val="24"/>
                <w:szCs w:val="24"/>
              </w:rPr>
              <w:t>OPCC Net Commissioned Services</w:t>
            </w:r>
          </w:p>
        </w:tc>
        <w:tc>
          <w:tcPr>
            <w:tcW w:w="1743" w:type="dxa"/>
          </w:tcPr>
          <w:p w14:paraId="673FC489" w14:textId="77777777" w:rsidR="000A27AF" w:rsidRPr="00B76F59" w:rsidRDefault="000A27AF" w:rsidP="00BD14BB">
            <w:pPr>
              <w:pStyle w:val="NoSpacing"/>
              <w:spacing w:before="120"/>
              <w:jc w:val="center"/>
              <w:rPr>
                <w:rFonts w:ascii="Arial" w:hAnsi="Arial" w:cs="Arial"/>
                <w:snapToGrid w:val="0"/>
                <w:sz w:val="24"/>
                <w:szCs w:val="24"/>
              </w:rPr>
            </w:pPr>
            <w:r w:rsidRPr="00B76F59">
              <w:rPr>
                <w:rFonts w:ascii="Arial" w:hAnsi="Arial" w:cs="Arial"/>
                <w:snapToGrid w:val="0"/>
                <w:sz w:val="24"/>
                <w:szCs w:val="24"/>
              </w:rPr>
              <w:t>1.726</w:t>
            </w:r>
          </w:p>
        </w:tc>
        <w:tc>
          <w:tcPr>
            <w:tcW w:w="1800" w:type="dxa"/>
          </w:tcPr>
          <w:p w14:paraId="146399BC" w14:textId="77777777" w:rsidR="000A27AF" w:rsidRPr="00B76F59" w:rsidRDefault="000A27AF" w:rsidP="00BD14BB">
            <w:pPr>
              <w:pStyle w:val="NoSpacing"/>
              <w:spacing w:before="120"/>
              <w:jc w:val="center"/>
              <w:rPr>
                <w:rFonts w:ascii="Arial" w:hAnsi="Arial" w:cs="Arial"/>
                <w:snapToGrid w:val="0"/>
                <w:sz w:val="24"/>
                <w:szCs w:val="24"/>
              </w:rPr>
            </w:pPr>
            <w:r w:rsidRPr="00B76F59">
              <w:rPr>
                <w:rFonts w:ascii="Arial" w:hAnsi="Arial" w:cs="Arial"/>
                <w:snapToGrid w:val="0"/>
                <w:sz w:val="24"/>
                <w:szCs w:val="24"/>
              </w:rPr>
              <w:t>2.2</w:t>
            </w:r>
            <w:r>
              <w:rPr>
                <w:rFonts w:ascii="Arial" w:hAnsi="Arial" w:cs="Arial"/>
                <w:snapToGrid w:val="0"/>
                <w:sz w:val="24"/>
                <w:szCs w:val="24"/>
              </w:rPr>
              <w:t>26</w:t>
            </w:r>
          </w:p>
        </w:tc>
        <w:tc>
          <w:tcPr>
            <w:tcW w:w="1552" w:type="dxa"/>
          </w:tcPr>
          <w:p w14:paraId="4C0D6C3B" w14:textId="77777777" w:rsidR="000A27AF" w:rsidRPr="00B76F59" w:rsidRDefault="000A27AF" w:rsidP="00BD14BB">
            <w:pPr>
              <w:pStyle w:val="NoSpacing"/>
              <w:spacing w:before="120"/>
              <w:jc w:val="center"/>
              <w:rPr>
                <w:rFonts w:ascii="Arial" w:hAnsi="Arial" w:cs="Arial"/>
                <w:snapToGrid w:val="0"/>
                <w:sz w:val="24"/>
                <w:szCs w:val="24"/>
              </w:rPr>
            </w:pPr>
            <w:r w:rsidRPr="00B76F59">
              <w:rPr>
                <w:rFonts w:ascii="Arial" w:hAnsi="Arial" w:cs="Arial"/>
                <w:snapToGrid w:val="0"/>
                <w:sz w:val="24"/>
                <w:szCs w:val="24"/>
              </w:rPr>
              <w:t>0.5</w:t>
            </w:r>
            <w:r>
              <w:rPr>
                <w:rFonts w:ascii="Arial" w:hAnsi="Arial" w:cs="Arial"/>
                <w:snapToGrid w:val="0"/>
                <w:sz w:val="24"/>
                <w:szCs w:val="24"/>
              </w:rPr>
              <w:t>00</w:t>
            </w:r>
          </w:p>
        </w:tc>
      </w:tr>
      <w:tr w:rsidR="000A27AF" w:rsidRPr="00B76F59" w14:paraId="2BA4BDFA" w14:textId="77777777" w:rsidTr="00BD14BB">
        <w:tc>
          <w:tcPr>
            <w:tcW w:w="3500" w:type="dxa"/>
          </w:tcPr>
          <w:p w14:paraId="5DFA42CC"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Funded from Reserves</w:t>
            </w:r>
          </w:p>
        </w:tc>
        <w:tc>
          <w:tcPr>
            <w:tcW w:w="1743" w:type="dxa"/>
          </w:tcPr>
          <w:p w14:paraId="64E17C5A" w14:textId="77777777" w:rsidR="000A27AF" w:rsidRPr="00B76F59" w:rsidRDefault="000A27AF" w:rsidP="00BD14BB">
            <w:pPr>
              <w:pStyle w:val="NoSpacing"/>
              <w:spacing w:before="120"/>
              <w:jc w:val="center"/>
              <w:rPr>
                <w:rFonts w:ascii="Arial" w:hAnsi="Arial" w:cs="Arial"/>
                <w:snapToGrid w:val="0"/>
                <w:sz w:val="24"/>
                <w:szCs w:val="24"/>
              </w:rPr>
            </w:pPr>
            <w:r w:rsidRPr="00B76F59">
              <w:rPr>
                <w:rFonts w:ascii="Arial" w:hAnsi="Arial" w:cs="Arial"/>
                <w:snapToGrid w:val="0"/>
                <w:sz w:val="24"/>
                <w:szCs w:val="24"/>
              </w:rPr>
              <w:t>(0.250)</w:t>
            </w:r>
          </w:p>
        </w:tc>
        <w:tc>
          <w:tcPr>
            <w:tcW w:w="1800" w:type="dxa"/>
          </w:tcPr>
          <w:p w14:paraId="396C6648" w14:textId="77777777" w:rsidR="000A27AF" w:rsidRPr="00B76F59" w:rsidRDefault="000A27AF" w:rsidP="00BD14BB">
            <w:pPr>
              <w:pStyle w:val="NoSpacing"/>
              <w:spacing w:before="120"/>
              <w:jc w:val="center"/>
              <w:rPr>
                <w:rFonts w:ascii="Arial" w:hAnsi="Arial" w:cs="Arial"/>
                <w:snapToGrid w:val="0"/>
                <w:sz w:val="24"/>
                <w:szCs w:val="24"/>
              </w:rPr>
            </w:pPr>
            <w:r w:rsidRPr="00B76F59">
              <w:rPr>
                <w:rFonts w:ascii="Arial" w:hAnsi="Arial" w:cs="Arial"/>
                <w:snapToGrid w:val="0"/>
                <w:sz w:val="24"/>
                <w:szCs w:val="24"/>
              </w:rPr>
              <w:t>(0.250)</w:t>
            </w:r>
          </w:p>
        </w:tc>
        <w:tc>
          <w:tcPr>
            <w:tcW w:w="1552" w:type="dxa"/>
          </w:tcPr>
          <w:p w14:paraId="0E9CACFA" w14:textId="77777777" w:rsidR="000A27AF" w:rsidRPr="00B76F59" w:rsidRDefault="000A27AF" w:rsidP="00BD14BB">
            <w:pPr>
              <w:pStyle w:val="NoSpacing"/>
              <w:spacing w:before="120"/>
              <w:jc w:val="center"/>
              <w:rPr>
                <w:rFonts w:ascii="Arial" w:hAnsi="Arial" w:cs="Arial"/>
                <w:snapToGrid w:val="0"/>
                <w:sz w:val="24"/>
                <w:szCs w:val="24"/>
              </w:rPr>
            </w:pPr>
          </w:p>
        </w:tc>
      </w:tr>
      <w:tr w:rsidR="000A27AF" w:rsidRPr="00B76F59" w14:paraId="60CC4FCC" w14:textId="77777777" w:rsidTr="00BD14BB">
        <w:tc>
          <w:tcPr>
            <w:tcW w:w="3500" w:type="dxa"/>
          </w:tcPr>
          <w:p w14:paraId="6A18DA69" w14:textId="77777777" w:rsidR="000A27AF" w:rsidRPr="00B76F59" w:rsidRDefault="000A27AF" w:rsidP="00BD14BB">
            <w:pPr>
              <w:pStyle w:val="NoSpacing"/>
              <w:spacing w:before="120"/>
              <w:jc w:val="both"/>
              <w:rPr>
                <w:rFonts w:ascii="Arial" w:hAnsi="Arial" w:cs="Arial"/>
                <w:b/>
                <w:bCs/>
                <w:snapToGrid w:val="0"/>
                <w:sz w:val="24"/>
                <w:szCs w:val="24"/>
              </w:rPr>
            </w:pPr>
            <w:r w:rsidRPr="00B76F59">
              <w:rPr>
                <w:rFonts w:ascii="Arial" w:hAnsi="Arial" w:cs="Arial"/>
                <w:b/>
                <w:bCs/>
                <w:snapToGrid w:val="0"/>
                <w:sz w:val="24"/>
                <w:szCs w:val="24"/>
              </w:rPr>
              <w:t>Net OPCC Budget</w:t>
            </w:r>
          </w:p>
        </w:tc>
        <w:tc>
          <w:tcPr>
            <w:tcW w:w="1743" w:type="dxa"/>
          </w:tcPr>
          <w:p w14:paraId="567FEFFF" w14:textId="77777777" w:rsidR="000A27AF" w:rsidRPr="00B76F59" w:rsidRDefault="000A27AF" w:rsidP="00BD14BB">
            <w:pPr>
              <w:pStyle w:val="NoSpacing"/>
              <w:spacing w:before="120"/>
              <w:jc w:val="center"/>
              <w:rPr>
                <w:rFonts w:ascii="Arial" w:hAnsi="Arial" w:cs="Arial"/>
                <w:b/>
                <w:bCs/>
                <w:snapToGrid w:val="0"/>
                <w:sz w:val="24"/>
                <w:szCs w:val="24"/>
              </w:rPr>
            </w:pPr>
            <w:r w:rsidRPr="00B76F59">
              <w:rPr>
                <w:rFonts w:ascii="Arial" w:hAnsi="Arial" w:cs="Arial"/>
                <w:b/>
                <w:bCs/>
                <w:snapToGrid w:val="0"/>
                <w:sz w:val="24"/>
                <w:szCs w:val="24"/>
              </w:rPr>
              <w:t>£3.145</w:t>
            </w:r>
          </w:p>
        </w:tc>
        <w:tc>
          <w:tcPr>
            <w:tcW w:w="1800" w:type="dxa"/>
          </w:tcPr>
          <w:p w14:paraId="0526DB2A" w14:textId="77777777" w:rsidR="000A27AF" w:rsidRPr="00B76F59" w:rsidRDefault="000A27AF" w:rsidP="00BD14BB">
            <w:pPr>
              <w:pStyle w:val="NoSpacing"/>
              <w:spacing w:before="120"/>
              <w:jc w:val="center"/>
              <w:rPr>
                <w:rFonts w:ascii="Arial" w:hAnsi="Arial" w:cs="Arial"/>
                <w:b/>
                <w:bCs/>
                <w:snapToGrid w:val="0"/>
                <w:sz w:val="24"/>
                <w:szCs w:val="24"/>
              </w:rPr>
            </w:pPr>
            <w:r w:rsidRPr="00B76F59">
              <w:rPr>
                <w:rFonts w:ascii="Arial" w:hAnsi="Arial" w:cs="Arial"/>
                <w:b/>
                <w:bCs/>
                <w:snapToGrid w:val="0"/>
                <w:sz w:val="24"/>
                <w:szCs w:val="24"/>
              </w:rPr>
              <w:t>£3.7</w:t>
            </w:r>
            <w:r>
              <w:rPr>
                <w:rFonts w:ascii="Arial" w:hAnsi="Arial" w:cs="Arial"/>
                <w:b/>
                <w:bCs/>
                <w:snapToGrid w:val="0"/>
                <w:sz w:val="24"/>
                <w:szCs w:val="24"/>
              </w:rPr>
              <w:t>25</w:t>
            </w:r>
          </w:p>
        </w:tc>
        <w:tc>
          <w:tcPr>
            <w:tcW w:w="1552" w:type="dxa"/>
          </w:tcPr>
          <w:p w14:paraId="3EB27F59" w14:textId="77777777" w:rsidR="000A27AF" w:rsidRPr="00B76F59" w:rsidRDefault="000A27AF" w:rsidP="00BD14BB">
            <w:pPr>
              <w:pStyle w:val="NoSpacing"/>
              <w:spacing w:before="120"/>
              <w:jc w:val="center"/>
              <w:rPr>
                <w:rFonts w:ascii="Arial" w:hAnsi="Arial" w:cs="Arial"/>
                <w:b/>
                <w:bCs/>
                <w:snapToGrid w:val="0"/>
                <w:sz w:val="24"/>
                <w:szCs w:val="24"/>
              </w:rPr>
            </w:pPr>
            <w:r w:rsidRPr="00B76F59">
              <w:rPr>
                <w:rFonts w:ascii="Arial" w:hAnsi="Arial" w:cs="Arial"/>
                <w:b/>
                <w:bCs/>
                <w:snapToGrid w:val="0"/>
                <w:sz w:val="24"/>
                <w:szCs w:val="24"/>
              </w:rPr>
              <w:t>0.</w:t>
            </w:r>
            <w:r>
              <w:rPr>
                <w:rFonts w:ascii="Arial" w:hAnsi="Arial" w:cs="Arial"/>
                <w:b/>
                <w:bCs/>
                <w:snapToGrid w:val="0"/>
                <w:sz w:val="24"/>
                <w:szCs w:val="24"/>
              </w:rPr>
              <w:t>580</w:t>
            </w:r>
          </w:p>
        </w:tc>
      </w:tr>
      <w:tr w:rsidR="000A27AF" w:rsidRPr="00B76F59" w14:paraId="018781F4" w14:textId="77777777" w:rsidTr="00BD14BB">
        <w:tc>
          <w:tcPr>
            <w:tcW w:w="3500" w:type="dxa"/>
          </w:tcPr>
          <w:p w14:paraId="191E367B" w14:textId="77777777" w:rsidR="000A27AF" w:rsidRPr="00B76F59" w:rsidRDefault="000A27AF" w:rsidP="00BD14BB">
            <w:pPr>
              <w:pStyle w:val="NoSpacing"/>
              <w:spacing w:before="120"/>
              <w:jc w:val="both"/>
              <w:rPr>
                <w:rFonts w:ascii="Arial" w:hAnsi="Arial" w:cs="Arial"/>
                <w:b/>
                <w:bCs/>
                <w:snapToGrid w:val="0"/>
                <w:sz w:val="24"/>
                <w:szCs w:val="24"/>
              </w:rPr>
            </w:pPr>
            <w:r w:rsidRPr="00B76F59">
              <w:rPr>
                <w:rFonts w:ascii="Arial" w:hAnsi="Arial" w:cs="Arial"/>
                <w:b/>
                <w:bCs/>
                <w:snapToGrid w:val="0"/>
                <w:sz w:val="24"/>
                <w:szCs w:val="24"/>
              </w:rPr>
              <w:t>%age of Group Budget</w:t>
            </w:r>
          </w:p>
        </w:tc>
        <w:tc>
          <w:tcPr>
            <w:tcW w:w="1743" w:type="dxa"/>
          </w:tcPr>
          <w:p w14:paraId="371CB957" w14:textId="77777777" w:rsidR="000A27AF" w:rsidRPr="00B76F59" w:rsidRDefault="000A27AF" w:rsidP="00BD14BB">
            <w:pPr>
              <w:pStyle w:val="NoSpacing"/>
              <w:spacing w:before="120"/>
              <w:jc w:val="center"/>
              <w:rPr>
                <w:rFonts w:ascii="Arial" w:hAnsi="Arial" w:cs="Arial"/>
                <w:b/>
                <w:bCs/>
                <w:snapToGrid w:val="0"/>
                <w:sz w:val="24"/>
                <w:szCs w:val="24"/>
              </w:rPr>
            </w:pPr>
            <w:r w:rsidRPr="00B76F59">
              <w:rPr>
                <w:rFonts w:ascii="Arial" w:hAnsi="Arial" w:cs="Arial"/>
                <w:b/>
                <w:bCs/>
                <w:snapToGrid w:val="0"/>
                <w:sz w:val="24"/>
                <w:szCs w:val="24"/>
              </w:rPr>
              <w:t>1.0%</w:t>
            </w:r>
          </w:p>
        </w:tc>
        <w:tc>
          <w:tcPr>
            <w:tcW w:w="1800" w:type="dxa"/>
          </w:tcPr>
          <w:p w14:paraId="63FF2255" w14:textId="77777777" w:rsidR="000A27AF" w:rsidRPr="00B76F59" w:rsidRDefault="000A27AF" w:rsidP="00BD14BB">
            <w:pPr>
              <w:pStyle w:val="NoSpacing"/>
              <w:spacing w:before="120"/>
              <w:jc w:val="center"/>
              <w:rPr>
                <w:rFonts w:ascii="Arial" w:hAnsi="Arial" w:cs="Arial"/>
                <w:b/>
                <w:bCs/>
                <w:snapToGrid w:val="0"/>
                <w:sz w:val="24"/>
                <w:szCs w:val="24"/>
              </w:rPr>
            </w:pPr>
            <w:r w:rsidRPr="00B76F59">
              <w:rPr>
                <w:rFonts w:ascii="Arial" w:hAnsi="Arial" w:cs="Arial"/>
                <w:b/>
                <w:bCs/>
                <w:snapToGrid w:val="0"/>
                <w:sz w:val="24"/>
                <w:szCs w:val="24"/>
              </w:rPr>
              <w:t>1.1%</w:t>
            </w:r>
          </w:p>
        </w:tc>
        <w:tc>
          <w:tcPr>
            <w:tcW w:w="1552" w:type="dxa"/>
          </w:tcPr>
          <w:p w14:paraId="4DD50E04" w14:textId="77777777" w:rsidR="000A27AF" w:rsidRPr="00B76F59" w:rsidRDefault="000A27AF" w:rsidP="00BD14BB">
            <w:pPr>
              <w:pStyle w:val="NoSpacing"/>
              <w:spacing w:before="120"/>
              <w:jc w:val="center"/>
              <w:rPr>
                <w:rFonts w:ascii="Arial" w:hAnsi="Arial" w:cs="Arial"/>
                <w:b/>
                <w:bCs/>
                <w:snapToGrid w:val="0"/>
                <w:sz w:val="24"/>
                <w:szCs w:val="24"/>
              </w:rPr>
            </w:pPr>
          </w:p>
        </w:tc>
      </w:tr>
      <w:tr w:rsidR="000A27AF" w:rsidRPr="00B76F59" w14:paraId="5D92CFE1" w14:textId="77777777" w:rsidTr="00BD14BB">
        <w:tc>
          <w:tcPr>
            <w:tcW w:w="3500" w:type="dxa"/>
          </w:tcPr>
          <w:p w14:paraId="46912097" w14:textId="77777777" w:rsidR="000A27AF" w:rsidRPr="00B76F59" w:rsidRDefault="000A27AF" w:rsidP="00BD14BB">
            <w:pPr>
              <w:pStyle w:val="NoSpacing"/>
              <w:spacing w:before="120"/>
              <w:jc w:val="both"/>
              <w:rPr>
                <w:rFonts w:ascii="Arial" w:hAnsi="Arial" w:cs="Arial"/>
                <w:b/>
                <w:bCs/>
                <w:snapToGrid w:val="0"/>
                <w:sz w:val="24"/>
                <w:szCs w:val="24"/>
              </w:rPr>
            </w:pPr>
            <w:r w:rsidRPr="00B76F59">
              <w:rPr>
                <w:rFonts w:ascii="Arial" w:hAnsi="Arial" w:cs="Arial"/>
                <w:b/>
                <w:bCs/>
                <w:snapToGrid w:val="0"/>
                <w:sz w:val="24"/>
                <w:szCs w:val="24"/>
              </w:rPr>
              <w:t>Operational costs as %age of net Budget</w:t>
            </w:r>
          </w:p>
        </w:tc>
        <w:tc>
          <w:tcPr>
            <w:tcW w:w="1743" w:type="dxa"/>
          </w:tcPr>
          <w:p w14:paraId="489C2E7A" w14:textId="77777777" w:rsidR="000A27AF" w:rsidRPr="00B76F59" w:rsidRDefault="000A27AF" w:rsidP="00BD14BB">
            <w:pPr>
              <w:pStyle w:val="NoSpacing"/>
              <w:spacing w:before="120"/>
              <w:jc w:val="center"/>
              <w:rPr>
                <w:rFonts w:ascii="Arial" w:hAnsi="Arial" w:cs="Arial"/>
                <w:b/>
                <w:bCs/>
                <w:snapToGrid w:val="0"/>
                <w:sz w:val="24"/>
                <w:szCs w:val="24"/>
              </w:rPr>
            </w:pPr>
            <w:r w:rsidRPr="00B76F59">
              <w:rPr>
                <w:rFonts w:ascii="Arial" w:hAnsi="Arial" w:cs="Arial"/>
                <w:b/>
                <w:bCs/>
                <w:snapToGrid w:val="0"/>
                <w:sz w:val="24"/>
                <w:szCs w:val="24"/>
              </w:rPr>
              <w:t>0.5%</w:t>
            </w:r>
          </w:p>
        </w:tc>
        <w:tc>
          <w:tcPr>
            <w:tcW w:w="1800" w:type="dxa"/>
          </w:tcPr>
          <w:p w14:paraId="2AAFD9A9" w14:textId="77777777" w:rsidR="000A27AF" w:rsidRPr="00B76F59" w:rsidRDefault="000A27AF" w:rsidP="00BD14BB">
            <w:pPr>
              <w:pStyle w:val="NoSpacing"/>
              <w:spacing w:before="120"/>
              <w:jc w:val="center"/>
              <w:rPr>
                <w:rFonts w:ascii="Arial" w:hAnsi="Arial" w:cs="Arial"/>
                <w:b/>
                <w:bCs/>
                <w:snapToGrid w:val="0"/>
                <w:sz w:val="24"/>
                <w:szCs w:val="24"/>
              </w:rPr>
            </w:pPr>
            <w:r w:rsidRPr="00B76F59">
              <w:rPr>
                <w:rFonts w:ascii="Arial" w:hAnsi="Arial" w:cs="Arial"/>
                <w:b/>
                <w:bCs/>
                <w:snapToGrid w:val="0"/>
                <w:sz w:val="24"/>
                <w:szCs w:val="24"/>
              </w:rPr>
              <w:t>0.5%</w:t>
            </w:r>
          </w:p>
        </w:tc>
        <w:tc>
          <w:tcPr>
            <w:tcW w:w="1552" w:type="dxa"/>
          </w:tcPr>
          <w:p w14:paraId="373DEBFB" w14:textId="77777777" w:rsidR="000A27AF" w:rsidRPr="00B76F59" w:rsidRDefault="000A27AF" w:rsidP="00BD14BB">
            <w:pPr>
              <w:pStyle w:val="NoSpacing"/>
              <w:spacing w:before="120"/>
              <w:jc w:val="center"/>
              <w:rPr>
                <w:rFonts w:ascii="Arial" w:hAnsi="Arial" w:cs="Arial"/>
                <w:b/>
                <w:bCs/>
                <w:snapToGrid w:val="0"/>
                <w:sz w:val="24"/>
                <w:szCs w:val="24"/>
              </w:rPr>
            </w:pPr>
          </w:p>
        </w:tc>
      </w:tr>
    </w:tbl>
    <w:p w14:paraId="643DC074" w14:textId="77777777" w:rsidR="000A27AF" w:rsidRPr="0050145D" w:rsidRDefault="000A27AF" w:rsidP="000A27AF">
      <w:pPr>
        <w:pStyle w:val="ListParagraph"/>
        <w:autoSpaceDE w:val="0"/>
        <w:autoSpaceDN w:val="0"/>
        <w:adjustRightInd w:val="0"/>
        <w:spacing w:after="0" w:line="240" w:lineRule="auto"/>
        <w:ind w:left="360"/>
        <w:jc w:val="both"/>
        <w:rPr>
          <w:rFonts w:ascii="Arial" w:hAnsi="Arial" w:cs="Arial"/>
          <w:color w:val="000000"/>
          <w:sz w:val="24"/>
          <w:szCs w:val="24"/>
          <w:highlight w:val="yellow"/>
        </w:rPr>
      </w:pPr>
    </w:p>
    <w:p w14:paraId="300D1A8D" w14:textId="77777777" w:rsidR="000A27AF" w:rsidRPr="0050145D" w:rsidRDefault="000A27AF" w:rsidP="000A27AF">
      <w:pPr>
        <w:pStyle w:val="ListParagraph"/>
        <w:autoSpaceDE w:val="0"/>
        <w:autoSpaceDN w:val="0"/>
        <w:adjustRightInd w:val="0"/>
        <w:spacing w:after="0" w:line="240" w:lineRule="auto"/>
        <w:ind w:left="360"/>
        <w:jc w:val="both"/>
        <w:rPr>
          <w:rFonts w:ascii="Arial" w:hAnsi="Arial" w:cs="Arial"/>
          <w:color w:val="000000"/>
          <w:sz w:val="24"/>
          <w:szCs w:val="24"/>
          <w:highlight w:val="yellow"/>
        </w:rPr>
      </w:pPr>
    </w:p>
    <w:p w14:paraId="01C06918" w14:textId="77777777" w:rsidR="000A27AF" w:rsidRPr="0050145D" w:rsidRDefault="000A27AF" w:rsidP="000A27AF">
      <w:pPr>
        <w:pStyle w:val="ListParagraph"/>
        <w:autoSpaceDE w:val="0"/>
        <w:autoSpaceDN w:val="0"/>
        <w:adjustRightInd w:val="0"/>
        <w:spacing w:after="0" w:line="240" w:lineRule="auto"/>
        <w:ind w:left="360"/>
        <w:rPr>
          <w:rFonts w:ascii="Arial" w:hAnsi="Arial" w:cs="Arial"/>
          <w:color w:val="000000"/>
          <w:sz w:val="24"/>
          <w:szCs w:val="24"/>
          <w:highlight w:val="yellow"/>
        </w:rPr>
      </w:pPr>
    </w:p>
    <w:p w14:paraId="4D8C7757" w14:textId="77777777" w:rsidR="000A27AF" w:rsidRPr="00844A7D"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844A7D">
        <w:rPr>
          <w:rFonts w:ascii="Arial" w:hAnsi="Arial" w:cs="Arial"/>
          <w:color w:val="000000"/>
          <w:sz w:val="24"/>
          <w:szCs w:val="24"/>
        </w:rPr>
        <w:t>The 'OPCC Net Operational Costs” includes salary and associated costs of the PCC, Chief Executive, Chief Finance Officer, and any other staff employed to support the duties of the PCC as well as office-running costs, subscriptions, communications etc. It also includes other statutory local policing body costs such as internal and external audit, banking, and treasury management etc. The rise in costs is due to increased audit fees and pay increases in line with the Force.</w:t>
      </w:r>
    </w:p>
    <w:p w14:paraId="20CB123C" w14:textId="77777777" w:rsidR="000A27AF" w:rsidRPr="00844A7D" w:rsidRDefault="000A27AF" w:rsidP="000A27AF">
      <w:pPr>
        <w:pStyle w:val="ListParagraph"/>
        <w:autoSpaceDE w:val="0"/>
        <w:autoSpaceDN w:val="0"/>
        <w:adjustRightInd w:val="0"/>
        <w:spacing w:after="0" w:line="240" w:lineRule="auto"/>
        <w:ind w:left="360"/>
        <w:jc w:val="both"/>
        <w:rPr>
          <w:rFonts w:ascii="Arial" w:hAnsi="Arial" w:cs="Arial"/>
          <w:color w:val="000000"/>
          <w:sz w:val="24"/>
          <w:szCs w:val="24"/>
        </w:rPr>
      </w:pPr>
    </w:p>
    <w:p w14:paraId="2987592C" w14:textId="77777777" w:rsidR="000A27AF" w:rsidRPr="00844A7D"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844A7D">
        <w:rPr>
          <w:rFonts w:ascii="Arial" w:hAnsi="Arial" w:cs="Arial"/>
          <w:color w:val="000000"/>
          <w:sz w:val="24"/>
          <w:szCs w:val="24"/>
        </w:rPr>
        <w:t>The “OPCC Net Commissioned Services” consists of grants for services for victims, community safety, crime prevention etc and the staff to commission them. Due to reductions in funding from Government and increasing demand from Victims, driven in part by delays with the judicial process, the budget for these services was increased by £0.5m. Further details can be found on the OPCC website.</w:t>
      </w:r>
    </w:p>
    <w:p w14:paraId="4874AA80" w14:textId="77777777" w:rsidR="000A27AF" w:rsidRPr="0050145D" w:rsidRDefault="000A27AF" w:rsidP="000A27AF">
      <w:pPr>
        <w:pStyle w:val="ListParagraph"/>
        <w:autoSpaceDE w:val="0"/>
        <w:autoSpaceDN w:val="0"/>
        <w:adjustRightInd w:val="0"/>
        <w:spacing w:after="0" w:line="240" w:lineRule="auto"/>
        <w:ind w:left="360"/>
        <w:jc w:val="both"/>
        <w:rPr>
          <w:rFonts w:ascii="Arial" w:hAnsi="Arial" w:cs="Arial"/>
          <w:color w:val="000000"/>
          <w:sz w:val="24"/>
          <w:szCs w:val="24"/>
          <w:highlight w:val="yellow"/>
        </w:rPr>
      </w:pPr>
    </w:p>
    <w:p w14:paraId="3EBDCF36" w14:textId="77777777" w:rsidR="000A27AF" w:rsidRPr="0050145D" w:rsidRDefault="000A27AF" w:rsidP="000A27AF">
      <w:pPr>
        <w:pStyle w:val="ListParagraph"/>
        <w:autoSpaceDE w:val="0"/>
        <w:autoSpaceDN w:val="0"/>
        <w:adjustRightInd w:val="0"/>
        <w:spacing w:after="0" w:line="240" w:lineRule="auto"/>
        <w:ind w:left="360"/>
        <w:rPr>
          <w:rFonts w:ascii="Arial" w:hAnsi="Arial" w:cs="Arial"/>
          <w:b/>
          <w:color w:val="000000"/>
          <w:sz w:val="24"/>
          <w:szCs w:val="24"/>
          <w:highlight w:val="yellow"/>
        </w:rPr>
      </w:pPr>
    </w:p>
    <w:p w14:paraId="12C314E0" w14:textId="77777777" w:rsidR="000A27AF" w:rsidRPr="00B11616" w:rsidRDefault="000A27AF" w:rsidP="000A27AF">
      <w:pPr>
        <w:pStyle w:val="ListParagraph"/>
        <w:autoSpaceDE w:val="0"/>
        <w:autoSpaceDN w:val="0"/>
        <w:adjustRightInd w:val="0"/>
        <w:spacing w:after="0" w:line="240" w:lineRule="auto"/>
        <w:ind w:left="360"/>
        <w:rPr>
          <w:rFonts w:ascii="Arial" w:hAnsi="Arial" w:cs="Arial"/>
          <w:b/>
          <w:color w:val="000000"/>
          <w:sz w:val="24"/>
          <w:szCs w:val="24"/>
        </w:rPr>
      </w:pPr>
      <w:r w:rsidRPr="00B11616">
        <w:rPr>
          <w:rFonts w:ascii="Arial" w:hAnsi="Arial" w:cs="Arial"/>
          <w:b/>
          <w:color w:val="000000"/>
          <w:sz w:val="24"/>
          <w:szCs w:val="24"/>
        </w:rPr>
        <w:t xml:space="preserve">Capital &amp; Investment Programme 2025/26 </w:t>
      </w:r>
    </w:p>
    <w:p w14:paraId="61048913" w14:textId="77777777" w:rsidR="000A27AF" w:rsidRPr="00B11616" w:rsidRDefault="000A27AF" w:rsidP="000A27AF">
      <w:pPr>
        <w:pStyle w:val="ListParagraph"/>
        <w:autoSpaceDE w:val="0"/>
        <w:autoSpaceDN w:val="0"/>
        <w:adjustRightInd w:val="0"/>
        <w:spacing w:after="0" w:line="240" w:lineRule="auto"/>
        <w:ind w:left="360"/>
        <w:rPr>
          <w:rFonts w:ascii="Arial" w:hAnsi="Arial" w:cs="Arial"/>
          <w:b/>
          <w:color w:val="000000"/>
          <w:sz w:val="24"/>
          <w:szCs w:val="24"/>
        </w:rPr>
      </w:pPr>
    </w:p>
    <w:p w14:paraId="060B847C" w14:textId="77777777" w:rsidR="000A27AF" w:rsidRPr="00B11616"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B11616">
        <w:rPr>
          <w:rFonts w:ascii="Arial" w:hAnsi="Arial" w:cs="Arial"/>
          <w:color w:val="000000"/>
          <w:sz w:val="24"/>
          <w:szCs w:val="24"/>
        </w:rPr>
        <w:t>Capital and investment expenditure of £48.4m is budgeted for in 2025/26 to be financed by a combination of borrowing, capital receipts and revenue transfers as there is no direct Government Capital funding. The capital budget for 2025/26 and an estimate for the 4 years beyond that is shown in the table below:</w:t>
      </w:r>
    </w:p>
    <w:p w14:paraId="02E62FB7" w14:textId="77777777" w:rsidR="000A27AF" w:rsidRPr="0050145D" w:rsidRDefault="000A27AF" w:rsidP="000A27AF">
      <w:pPr>
        <w:pStyle w:val="ListParagraph"/>
        <w:autoSpaceDE w:val="0"/>
        <w:autoSpaceDN w:val="0"/>
        <w:adjustRightInd w:val="0"/>
        <w:spacing w:after="0" w:line="240" w:lineRule="auto"/>
        <w:ind w:left="360"/>
        <w:rPr>
          <w:rFonts w:ascii="Arial" w:hAnsi="Arial" w:cs="Arial"/>
          <w:color w:val="000000"/>
          <w:sz w:val="24"/>
          <w:szCs w:val="24"/>
          <w:highlight w:val="yellow"/>
        </w:rPr>
      </w:pPr>
    </w:p>
    <w:p w14:paraId="53C12877" w14:textId="77777777" w:rsidR="000A27AF" w:rsidRPr="0050145D" w:rsidRDefault="000A27AF" w:rsidP="000A27AF">
      <w:pPr>
        <w:pStyle w:val="ListParagraph"/>
        <w:autoSpaceDE w:val="0"/>
        <w:autoSpaceDN w:val="0"/>
        <w:adjustRightInd w:val="0"/>
        <w:spacing w:after="0" w:line="240" w:lineRule="auto"/>
        <w:ind w:left="360"/>
        <w:rPr>
          <w:rFonts w:ascii="Arial" w:hAnsi="Arial" w:cs="Arial"/>
          <w:color w:val="000000"/>
          <w:sz w:val="24"/>
          <w:szCs w:val="24"/>
          <w:highlight w:val="yellow"/>
        </w:rPr>
      </w:pPr>
      <w:r w:rsidRPr="00A044A5">
        <w:rPr>
          <w:noProof/>
          <w:snapToGrid w:val="0"/>
          <w:sz w:val="24"/>
          <w:szCs w:val="24"/>
        </w:rPr>
        <w:lastRenderedPageBreak/>
        <w:drawing>
          <wp:inline distT="0" distB="0" distL="0" distR="0" wp14:anchorId="3DD0F2A3" wp14:editId="13F919E7">
            <wp:extent cx="5731510" cy="1869575"/>
            <wp:effectExtent l="0" t="0" r="2540" b="0"/>
            <wp:docPr id="2800533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869575"/>
                    </a:xfrm>
                    <a:prstGeom prst="rect">
                      <a:avLst/>
                    </a:prstGeom>
                    <a:noFill/>
                  </pic:spPr>
                </pic:pic>
              </a:graphicData>
            </a:graphic>
          </wp:inline>
        </w:drawing>
      </w:r>
    </w:p>
    <w:p w14:paraId="343A44C9" w14:textId="77777777" w:rsidR="000A27AF" w:rsidRPr="0050145D" w:rsidRDefault="000A27AF" w:rsidP="000A27AF">
      <w:pPr>
        <w:pStyle w:val="ListParagraph"/>
        <w:autoSpaceDE w:val="0"/>
        <w:autoSpaceDN w:val="0"/>
        <w:adjustRightInd w:val="0"/>
        <w:spacing w:after="0" w:line="240" w:lineRule="auto"/>
        <w:ind w:left="360"/>
        <w:rPr>
          <w:rFonts w:ascii="Arial" w:hAnsi="Arial" w:cs="Arial"/>
          <w:color w:val="000000"/>
          <w:sz w:val="24"/>
          <w:szCs w:val="24"/>
          <w:highlight w:val="yellow"/>
        </w:rPr>
      </w:pPr>
    </w:p>
    <w:p w14:paraId="3A6D9E8C" w14:textId="77777777" w:rsidR="000A27AF" w:rsidRPr="00695D41" w:rsidRDefault="000A27AF" w:rsidP="000A27AF">
      <w:pPr>
        <w:pStyle w:val="ListParagraph"/>
        <w:numPr>
          <w:ilvl w:val="0"/>
          <w:numId w:val="2"/>
        </w:numPr>
        <w:rPr>
          <w:rFonts w:ascii="Arial" w:hAnsi="Arial" w:cs="Arial"/>
          <w:color w:val="000000"/>
          <w:sz w:val="24"/>
          <w:szCs w:val="24"/>
        </w:rPr>
      </w:pPr>
      <w:r w:rsidRPr="00695D41">
        <w:rPr>
          <w:rFonts w:ascii="Arial" w:hAnsi="Arial" w:cs="Arial"/>
          <w:color w:val="000000"/>
          <w:sz w:val="24"/>
          <w:szCs w:val="24"/>
        </w:rPr>
        <w:t>The Capital is to be used as follows:</w:t>
      </w:r>
    </w:p>
    <w:p w14:paraId="1A683E4C" w14:textId="77777777" w:rsidR="000A27AF" w:rsidRPr="00695D41" w:rsidRDefault="000A27AF" w:rsidP="000A27AF">
      <w:pPr>
        <w:pStyle w:val="ListParagraph"/>
        <w:ind w:left="360"/>
        <w:rPr>
          <w:rFonts w:ascii="Arial" w:hAnsi="Arial" w:cs="Arial"/>
          <w:color w:val="000000"/>
          <w:sz w:val="24"/>
          <w:szCs w:val="24"/>
        </w:rPr>
      </w:pPr>
    </w:p>
    <w:p w14:paraId="2C2AB07E" w14:textId="77777777" w:rsidR="000A27AF" w:rsidRPr="00695D41" w:rsidRDefault="000A27AF" w:rsidP="000A27AF">
      <w:pPr>
        <w:pStyle w:val="ListParagraph"/>
        <w:numPr>
          <w:ilvl w:val="0"/>
          <w:numId w:val="15"/>
        </w:numPr>
        <w:rPr>
          <w:rFonts w:ascii="Arial" w:hAnsi="Arial" w:cs="Arial"/>
          <w:color w:val="000000"/>
          <w:sz w:val="24"/>
          <w:szCs w:val="24"/>
        </w:rPr>
      </w:pPr>
      <w:r w:rsidRPr="00695D41">
        <w:rPr>
          <w:rFonts w:ascii="Arial" w:hAnsi="Arial" w:cs="Arial"/>
          <w:color w:val="000000"/>
          <w:sz w:val="24"/>
          <w:szCs w:val="24"/>
        </w:rPr>
        <w:t>Hardware refresh, including servers and cloud storage.</w:t>
      </w:r>
    </w:p>
    <w:p w14:paraId="7CC1A52A" w14:textId="77777777" w:rsidR="000A27AF" w:rsidRPr="00695D41" w:rsidRDefault="000A27AF" w:rsidP="000A27AF">
      <w:pPr>
        <w:pStyle w:val="ListParagraph"/>
        <w:numPr>
          <w:ilvl w:val="0"/>
          <w:numId w:val="15"/>
        </w:numPr>
        <w:rPr>
          <w:rFonts w:ascii="Arial" w:hAnsi="Arial" w:cs="Arial"/>
          <w:color w:val="000000"/>
          <w:sz w:val="24"/>
          <w:szCs w:val="24"/>
        </w:rPr>
      </w:pPr>
      <w:r w:rsidRPr="00695D41">
        <w:rPr>
          <w:rFonts w:ascii="Arial" w:hAnsi="Arial" w:cs="Arial"/>
          <w:color w:val="000000"/>
          <w:sz w:val="24"/>
          <w:szCs w:val="24"/>
        </w:rPr>
        <w:t>Mechanical and electrical replacement program</w:t>
      </w:r>
    </w:p>
    <w:p w14:paraId="2BEA42D5" w14:textId="77777777" w:rsidR="000A27AF" w:rsidRPr="00695D41" w:rsidRDefault="000A27AF" w:rsidP="000A27AF">
      <w:pPr>
        <w:pStyle w:val="ListParagraph"/>
        <w:numPr>
          <w:ilvl w:val="0"/>
          <w:numId w:val="15"/>
        </w:numPr>
        <w:rPr>
          <w:rFonts w:ascii="Arial" w:hAnsi="Arial" w:cs="Arial"/>
          <w:color w:val="000000"/>
          <w:sz w:val="24"/>
          <w:szCs w:val="24"/>
        </w:rPr>
      </w:pPr>
      <w:r w:rsidRPr="00695D41">
        <w:rPr>
          <w:rFonts w:ascii="Arial" w:hAnsi="Arial" w:cs="Arial"/>
          <w:color w:val="000000"/>
          <w:sz w:val="24"/>
          <w:szCs w:val="24"/>
        </w:rPr>
        <w:t>Provision of new vehicles. Number of vehicles have reduced but costs have risen.</w:t>
      </w:r>
    </w:p>
    <w:p w14:paraId="5512A18C" w14:textId="77777777" w:rsidR="000A27AF" w:rsidRPr="00695D41" w:rsidRDefault="000A27AF" w:rsidP="000A27AF">
      <w:pPr>
        <w:pStyle w:val="ListParagraph"/>
        <w:numPr>
          <w:ilvl w:val="0"/>
          <w:numId w:val="15"/>
        </w:numPr>
        <w:rPr>
          <w:rFonts w:ascii="Arial" w:hAnsi="Arial" w:cs="Arial"/>
          <w:color w:val="000000"/>
          <w:sz w:val="24"/>
          <w:szCs w:val="24"/>
        </w:rPr>
      </w:pPr>
      <w:r w:rsidRPr="00695D41">
        <w:rPr>
          <w:rFonts w:ascii="Arial" w:hAnsi="Arial" w:cs="Arial"/>
          <w:color w:val="000000"/>
          <w:sz w:val="24"/>
          <w:szCs w:val="24"/>
        </w:rPr>
        <w:t>New access road at Mount Browne (MTB), Eastern hub and MTB redevelopment</w:t>
      </w:r>
    </w:p>
    <w:p w14:paraId="46CC4C3B" w14:textId="77777777" w:rsidR="000A27AF" w:rsidRPr="0050145D" w:rsidRDefault="000A27AF" w:rsidP="000A27AF">
      <w:pPr>
        <w:pStyle w:val="ListParagraph"/>
        <w:ind w:left="360"/>
        <w:rPr>
          <w:rFonts w:ascii="Arial" w:hAnsi="Arial" w:cs="Arial"/>
          <w:color w:val="000000"/>
          <w:sz w:val="24"/>
          <w:szCs w:val="24"/>
          <w:highlight w:val="yellow"/>
        </w:rPr>
      </w:pPr>
    </w:p>
    <w:p w14:paraId="26953B24" w14:textId="77777777" w:rsidR="000A27AF" w:rsidRPr="00A05A0A"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A05A0A">
        <w:rPr>
          <w:rFonts w:ascii="Arial" w:hAnsi="Arial" w:cs="Arial"/>
          <w:color w:val="000000"/>
          <w:sz w:val="24"/>
          <w:szCs w:val="24"/>
        </w:rPr>
        <w:t xml:space="preserve">The lack of Government grants makes the funding of Capital a challenge for all Forces. It is anticipated that the 2025/26 capital program will be funded from an £8.3m contribution form revenue, reserves, capital receipts and borrowing. If external borrowing is needed this can only be done by the PCC and then only for long life assets such as buildings. Any borrowing must also comply with the Prudential framework and be affordable. </w:t>
      </w:r>
    </w:p>
    <w:p w14:paraId="460AA766" w14:textId="77777777" w:rsidR="000A27AF" w:rsidRPr="0050145D" w:rsidRDefault="000A27AF" w:rsidP="000A27AF">
      <w:pPr>
        <w:autoSpaceDE w:val="0"/>
        <w:autoSpaceDN w:val="0"/>
        <w:adjustRightInd w:val="0"/>
        <w:spacing w:after="0" w:line="240" w:lineRule="auto"/>
        <w:rPr>
          <w:rFonts w:ascii="Arial" w:hAnsi="Arial" w:cs="Arial"/>
          <w:color w:val="000000"/>
          <w:sz w:val="24"/>
          <w:szCs w:val="24"/>
          <w:highlight w:val="yellow"/>
        </w:rPr>
      </w:pPr>
    </w:p>
    <w:p w14:paraId="21C4CD4C" w14:textId="77777777" w:rsidR="000A27AF" w:rsidRPr="002C7434" w:rsidRDefault="000A27AF" w:rsidP="000A27AF">
      <w:pPr>
        <w:pStyle w:val="ListParagraph"/>
        <w:autoSpaceDE w:val="0"/>
        <w:autoSpaceDN w:val="0"/>
        <w:adjustRightInd w:val="0"/>
        <w:spacing w:after="0" w:line="240" w:lineRule="auto"/>
        <w:ind w:left="360"/>
        <w:rPr>
          <w:rFonts w:ascii="Arial" w:hAnsi="Arial" w:cs="Arial"/>
          <w:b/>
          <w:color w:val="000000"/>
          <w:sz w:val="24"/>
          <w:szCs w:val="24"/>
        </w:rPr>
      </w:pPr>
      <w:r w:rsidRPr="002C7434">
        <w:rPr>
          <w:rFonts w:ascii="Arial" w:hAnsi="Arial" w:cs="Arial"/>
          <w:b/>
          <w:color w:val="000000"/>
          <w:sz w:val="24"/>
          <w:szCs w:val="24"/>
        </w:rPr>
        <w:t>Reserves 2025/26</w:t>
      </w:r>
    </w:p>
    <w:p w14:paraId="16049CE7" w14:textId="77777777" w:rsidR="000A27AF" w:rsidRPr="002C7434" w:rsidRDefault="000A27AF" w:rsidP="000A27AF">
      <w:pPr>
        <w:autoSpaceDE w:val="0"/>
        <w:autoSpaceDN w:val="0"/>
        <w:adjustRightInd w:val="0"/>
        <w:spacing w:after="0" w:line="240" w:lineRule="auto"/>
        <w:rPr>
          <w:rFonts w:ascii="Verdana" w:hAnsi="Verdana" w:cs="Verdana"/>
          <w:color w:val="000000"/>
          <w:sz w:val="23"/>
          <w:szCs w:val="23"/>
        </w:rPr>
      </w:pPr>
    </w:p>
    <w:p w14:paraId="4A03F78D" w14:textId="77777777" w:rsidR="000A27AF" w:rsidRPr="002C7434" w:rsidRDefault="000A27AF" w:rsidP="000A27AF">
      <w:pPr>
        <w:autoSpaceDE w:val="0"/>
        <w:autoSpaceDN w:val="0"/>
        <w:adjustRightInd w:val="0"/>
        <w:spacing w:after="0" w:line="240" w:lineRule="auto"/>
        <w:ind w:left="360"/>
        <w:rPr>
          <w:rFonts w:ascii="Verdana" w:hAnsi="Verdana" w:cs="Verdana"/>
          <w:color w:val="000000"/>
          <w:sz w:val="23"/>
          <w:szCs w:val="23"/>
          <w:u w:val="single"/>
        </w:rPr>
      </w:pPr>
      <w:r w:rsidRPr="002C7434">
        <w:rPr>
          <w:rFonts w:ascii="Verdana" w:hAnsi="Verdana" w:cs="Verdana"/>
          <w:color w:val="000000"/>
          <w:sz w:val="23"/>
          <w:szCs w:val="23"/>
          <w:u w:val="single"/>
        </w:rPr>
        <w:t>Background Information on Reserves</w:t>
      </w:r>
    </w:p>
    <w:p w14:paraId="153CA774" w14:textId="77777777" w:rsidR="000A27AF" w:rsidRPr="002C7434" w:rsidRDefault="000A27AF" w:rsidP="000A27AF">
      <w:pPr>
        <w:autoSpaceDE w:val="0"/>
        <w:autoSpaceDN w:val="0"/>
        <w:adjustRightInd w:val="0"/>
        <w:spacing w:after="0" w:line="240" w:lineRule="auto"/>
        <w:rPr>
          <w:rFonts w:ascii="Verdana" w:hAnsi="Verdana" w:cs="Verdana"/>
          <w:color w:val="000000"/>
          <w:sz w:val="23"/>
          <w:szCs w:val="23"/>
        </w:rPr>
      </w:pPr>
    </w:p>
    <w:p w14:paraId="52F0CEB4" w14:textId="77777777" w:rsidR="000A27AF" w:rsidRPr="002C7434" w:rsidRDefault="000A27AF" w:rsidP="000A27AF">
      <w:pPr>
        <w:pStyle w:val="ListParagraph"/>
        <w:numPr>
          <w:ilvl w:val="0"/>
          <w:numId w:val="2"/>
        </w:numPr>
        <w:jc w:val="both"/>
        <w:rPr>
          <w:rFonts w:ascii="Arial" w:hAnsi="Arial" w:cs="Arial"/>
          <w:color w:val="000000"/>
          <w:sz w:val="24"/>
          <w:szCs w:val="24"/>
        </w:rPr>
      </w:pPr>
      <w:r w:rsidRPr="002C7434">
        <w:rPr>
          <w:rFonts w:ascii="Arial" w:hAnsi="Arial" w:cs="Arial"/>
          <w:color w:val="000000"/>
          <w:sz w:val="24"/>
          <w:szCs w:val="24"/>
        </w:rPr>
        <w:t>Revenue and Capital Reserves are an important resource for day to day as well as medium term financial planning despite being one-off in nature. The Chartered Institute of Public Finance and Accountancy consider that PCCs should establish reserves including the level of those reserves based on the advice of their chief finance officers and should make their own judgements considering all the relevant local circumstances.</w:t>
      </w:r>
    </w:p>
    <w:p w14:paraId="7B36A6C1" w14:textId="77777777" w:rsidR="000A27AF" w:rsidRPr="002C7434" w:rsidRDefault="000A27AF" w:rsidP="000A27AF">
      <w:pPr>
        <w:pStyle w:val="ListParagraph"/>
        <w:ind w:left="360"/>
        <w:jc w:val="both"/>
        <w:rPr>
          <w:rFonts w:ascii="Arial" w:hAnsi="Arial" w:cs="Arial"/>
          <w:color w:val="000000"/>
          <w:sz w:val="24"/>
          <w:szCs w:val="24"/>
        </w:rPr>
      </w:pPr>
    </w:p>
    <w:p w14:paraId="7AA8325F" w14:textId="77777777" w:rsidR="000A27AF" w:rsidRPr="002C7434" w:rsidRDefault="000A27AF" w:rsidP="000A27AF">
      <w:pPr>
        <w:pStyle w:val="ListParagraph"/>
        <w:numPr>
          <w:ilvl w:val="0"/>
          <w:numId w:val="2"/>
        </w:numPr>
        <w:jc w:val="both"/>
        <w:rPr>
          <w:rFonts w:ascii="Arial" w:hAnsi="Arial" w:cs="Arial"/>
          <w:color w:val="000000"/>
          <w:sz w:val="24"/>
          <w:szCs w:val="24"/>
        </w:rPr>
      </w:pPr>
      <w:r w:rsidRPr="002C7434">
        <w:rPr>
          <w:rFonts w:ascii="Arial" w:hAnsi="Arial" w:cs="Arial"/>
          <w:color w:val="000000"/>
          <w:sz w:val="24"/>
          <w:szCs w:val="24"/>
        </w:rPr>
        <w:t xml:space="preserve">The requirement for financial reserves is acknowledged in statute. Sections </w:t>
      </w:r>
    </w:p>
    <w:p w14:paraId="21A154E2" w14:textId="77777777" w:rsidR="000A27AF" w:rsidRPr="002C7434" w:rsidRDefault="000A27AF" w:rsidP="000A27AF">
      <w:pPr>
        <w:pStyle w:val="ListParagraph"/>
        <w:ind w:left="360"/>
        <w:jc w:val="both"/>
        <w:rPr>
          <w:rFonts w:ascii="Arial" w:hAnsi="Arial" w:cs="Arial"/>
          <w:color w:val="000000"/>
          <w:sz w:val="24"/>
          <w:szCs w:val="24"/>
        </w:rPr>
      </w:pPr>
      <w:r w:rsidRPr="002C7434">
        <w:rPr>
          <w:rFonts w:ascii="Arial" w:hAnsi="Arial" w:cs="Arial"/>
          <w:color w:val="000000"/>
          <w:sz w:val="24"/>
          <w:szCs w:val="24"/>
        </w:rPr>
        <w:t>31A, 32, 42A and 43 of the Local Government Finance Act 1992 require billing and precepting authorities in England and Wales to have regard to the level of reserves needed for meeting estimated future expenditure when preparing budgets. The Chief Finance Officer is required as part of the budget setting process to provide a statement on the adequacy of reserves.</w:t>
      </w:r>
    </w:p>
    <w:p w14:paraId="45422B02" w14:textId="77777777" w:rsidR="000A27AF" w:rsidRPr="002C7434" w:rsidRDefault="000A27AF" w:rsidP="000A27AF">
      <w:pPr>
        <w:pStyle w:val="ListParagraph"/>
        <w:ind w:left="360"/>
        <w:jc w:val="both"/>
        <w:rPr>
          <w:rFonts w:ascii="Arial" w:hAnsi="Arial" w:cs="Arial"/>
          <w:color w:val="000000"/>
          <w:sz w:val="24"/>
          <w:szCs w:val="24"/>
        </w:rPr>
      </w:pPr>
    </w:p>
    <w:p w14:paraId="1678BB74" w14:textId="77777777" w:rsidR="000A27AF" w:rsidRPr="002C7434" w:rsidRDefault="000A27AF" w:rsidP="000A27AF">
      <w:pPr>
        <w:pStyle w:val="ListParagraph"/>
        <w:numPr>
          <w:ilvl w:val="0"/>
          <w:numId w:val="2"/>
        </w:numPr>
        <w:jc w:val="both"/>
        <w:rPr>
          <w:rFonts w:ascii="Arial" w:hAnsi="Arial" w:cs="Arial"/>
          <w:color w:val="000000"/>
          <w:sz w:val="24"/>
          <w:szCs w:val="24"/>
        </w:rPr>
      </w:pPr>
      <w:r w:rsidRPr="002C7434">
        <w:rPr>
          <w:rFonts w:ascii="Arial" w:hAnsi="Arial" w:cs="Arial"/>
          <w:color w:val="000000"/>
          <w:sz w:val="24"/>
          <w:szCs w:val="24"/>
        </w:rPr>
        <w:t xml:space="preserve">The Home Office Financial Management Code of Practice also sets out the </w:t>
      </w:r>
    </w:p>
    <w:p w14:paraId="30BC0ECF" w14:textId="77777777" w:rsidR="000A27AF" w:rsidRPr="002C7434" w:rsidRDefault="000A27AF" w:rsidP="000A27AF">
      <w:pPr>
        <w:pStyle w:val="ListParagraph"/>
        <w:ind w:left="360"/>
        <w:jc w:val="both"/>
        <w:rPr>
          <w:rFonts w:ascii="Arial" w:hAnsi="Arial" w:cs="Arial"/>
          <w:color w:val="000000"/>
          <w:sz w:val="24"/>
          <w:szCs w:val="24"/>
        </w:rPr>
      </w:pPr>
      <w:r w:rsidRPr="002C7434">
        <w:rPr>
          <w:rFonts w:ascii="Arial" w:hAnsi="Arial" w:cs="Arial"/>
          <w:color w:val="000000"/>
          <w:sz w:val="24"/>
          <w:szCs w:val="24"/>
        </w:rPr>
        <w:lastRenderedPageBreak/>
        <w:t>following requirements:</w:t>
      </w:r>
    </w:p>
    <w:p w14:paraId="3990E17C" w14:textId="77777777" w:rsidR="000A27AF" w:rsidRPr="002C7434" w:rsidRDefault="000A27AF" w:rsidP="000A27AF">
      <w:pPr>
        <w:pStyle w:val="ListParagraph"/>
        <w:ind w:left="360"/>
        <w:jc w:val="both"/>
        <w:rPr>
          <w:rFonts w:ascii="Arial" w:hAnsi="Arial" w:cs="Arial"/>
          <w:color w:val="000000"/>
          <w:sz w:val="24"/>
          <w:szCs w:val="24"/>
        </w:rPr>
      </w:pPr>
    </w:p>
    <w:p w14:paraId="06271410" w14:textId="77777777" w:rsidR="000A27AF" w:rsidRPr="002C7434" w:rsidRDefault="000A27AF" w:rsidP="000A27AF">
      <w:pPr>
        <w:pStyle w:val="ListParagraph"/>
        <w:numPr>
          <w:ilvl w:val="0"/>
          <w:numId w:val="10"/>
        </w:numPr>
        <w:autoSpaceDE w:val="0"/>
        <w:autoSpaceDN w:val="0"/>
        <w:adjustRightInd w:val="0"/>
        <w:spacing w:after="0" w:line="240" w:lineRule="auto"/>
        <w:jc w:val="both"/>
        <w:rPr>
          <w:rFonts w:ascii="Arial" w:hAnsi="Arial" w:cs="Arial"/>
          <w:color w:val="000000"/>
          <w:sz w:val="24"/>
          <w:szCs w:val="24"/>
        </w:rPr>
      </w:pPr>
      <w:r w:rsidRPr="002C7434">
        <w:rPr>
          <w:rFonts w:ascii="Arial" w:hAnsi="Arial" w:cs="Arial"/>
          <w:color w:val="000000"/>
          <w:sz w:val="24"/>
          <w:szCs w:val="24"/>
        </w:rPr>
        <w:t>PCCs to establish a policy on reserves including how they may be used.</w:t>
      </w:r>
    </w:p>
    <w:p w14:paraId="24395E44" w14:textId="77777777" w:rsidR="000A27AF" w:rsidRPr="002C7434" w:rsidRDefault="000A27AF" w:rsidP="000A27AF">
      <w:pPr>
        <w:pStyle w:val="ListParagraph"/>
        <w:numPr>
          <w:ilvl w:val="0"/>
          <w:numId w:val="10"/>
        </w:numPr>
        <w:autoSpaceDE w:val="0"/>
        <w:autoSpaceDN w:val="0"/>
        <w:adjustRightInd w:val="0"/>
        <w:spacing w:after="0" w:line="240" w:lineRule="auto"/>
        <w:jc w:val="both"/>
        <w:rPr>
          <w:rFonts w:ascii="Arial" w:hAnsi="Arial" w:cs="Arial"/>
          <w:color w:val="000000"/>
          <w:sz w:val="24"/>
          <w:szCs w:val="24"/>
        </w:rPr>
      </w:pPr>
      <w:r w:rsidRPr="002C7434">
        <w:rPr>
          <w:rFonts w:ascii="Arial" w:hAnsi="Arial" w:cs="Arial"/>
          <w:color w:val="000000"/>
          <w:sz w:val="24"/>
          <w:szCs w:val="24"/>
        </w:rPr>
        <w:t xml:space="preserve">Full details of how the reserves and provisions policy will operate locally. </w:t>
      </w:r>
    </w:p>
    <w:p w14:paraId="47E20FE0" w14:textId="77777777" w:rsidR="000A27AF" w:rsidRPr="002C7434" w:rsidRDefault="000A27AF" w:rsidP="000A27AF">
      <w:pPr>
        <w:pStyle w:val="ListParagraph"/>
        <w:numPr>
          <w:ilvl w:val="0"/>
          <w:numId w:val="10"/>
        </w:numPr>
        <w:autoSpaceDE w:val="0"/>
        <w:autoSpaceDN w:val="0"/>
        <w:adjustRightInd w:val="0"/>
        <w:spacing w:after="0" w:line="240" w:lineRule="auto"/>
        <w:jc w:val="both"/>
        <w:rPr>
          <w:rFonts w:ascii="Arial" w:hAnsi="Arial" w:cs="Arial"/>
          <w:color w:val="000000"/>
          <w:sz w:val="24"/>
          <w:szCs w:val="24"/>
        </w:rPr>
      </w:pPr>
      <w:r w:rsidRPr="002C7434">
        <w:rPr>
          <w:rFonts w:ascii="Arial" w:hAnsi="Arial" w:cs="Arial"/>
          <w:color w:val="000000"/>
          <w:sz w:val="24"/>
          <w:szCs w:val="24"/>
        </w:rPr>
        <w:t xml:space="preserve">Ensure that the annual budget includes a realistic amount of operational contingency that is available to the Chief Constable for operational priorities without the need for additional approval; and </w:t>
      </w:r>
    </w:p>
    <w:p w14:paraId="4687CE8E" w14:textId="77777777" w:rsidR="000A27AF" w:rsidRPr="002C7434" w:rsidRDefault="000A27AF" w:rsidP="000A27AF">
      <w:pPr>
        <w:pStyle w:val="ListParagraph"/>
        <w:numPr>
          <w:ilvl w:val="0"/>
          <w:numId w:val="10"/>
        </w:numPr>
        <w:autoSpaceDE w:val="0"/>
        <w:autoSpaceDN w:val="0"/>
        <w:adjustRightInd w:val="0"/>
        <w:spacing w:after="0" w:line="240" w:lineRule="auto"/>
        <w:jc w:val="both"/>
        <w:rPr>
          <w:rFonts w:ascii="Arial" w:hAnsi="Arial" w:cs="Arial"/>
          <w:color w:val="000000"/>
          <w:sz w:val="24"/>
          <w:szCs w:val="24"/>
        </w:rPr>
      </w:pPr>
      <w:r w:rsidRPr="002C7434">
        <w:rPr>
          <w:rFonts w:ascii="Arial" w:hAnsi="Arial" w:cs="Arial"/>
          <w:color w:val="000000"/>
          <w:sz w:val="24"/>
          <w:szCs w:val="24"/>
        </w:rPr>
        <w:t>Provision for budgets to be carried forward from one financial year to the next.</w:t>
      </w:r>
    </w:p>
    <w:p w14:paraId="630BF0AE" w14:textId="77777777" w:rsidR="000A27AF" w:rsidRPr="002C7434" w:rsidRDefault="000A27AF" w:rsidP="000A27AF">
      <w:pPr>
        <w:autoSpaceDE w:val="0"/>
        <w:autoSpaceDN w:val="0"/>
        <w:adjustRightInd w:val="0"/>
        <w:spacing w:after="0" w:line="240" w:lineRule="auto"/>
        <w:ind w:left="360"/>
        <w:jc w:val="both"/>
        <w:rPr>
          <w:rFonts w:ascii="Arial" w:hAnsi="Arial" w:cs="Arial"/>
          <w:color w:val="000000"/>
          <w:sz w:val="24"/>
          <w:szCs w:val="24"/>
        </w:rPr>
      </w:pPr>
    </w:p>
    <w:p w14:paraId="5C1D2DE8" w14:textId="77777777" w:rsidR="000A27AF" w:rsidRPr="002C7434" w:rsidRDefault="000A27AF" w:rsidP="000A27AF">
      <w:pPr>
        <w:pStyle w:val="ListParagraph"/>
        <w:numPr>
          <w:ilvl w:val="0"/>
          <w:numId w:val="2"/>
        </w:numPr>
        <w:jc w:val="both"/>
        <w:rPr>
          <w:rFonts w:ascii="Arial" w:hAnsi="Arial" w:cs="Arial"/>
          <w:color w:val="000000"/>
          <w:sz w:val="24"/>
          <w:szCs w:val="24"/>
        </w:rPr>
      </w:pPr>
      <w:r w:rsidRPr="002C7434">
        <w:rPr>
          <w:rFonts w:ascii="Arial" w:hAnsi="Arial" w:cs="Arial"/>
          <w:color w:val="000000"/>
          <w:sz w:val="24"/>
          <w:szCs w:val="24"/>
        </w:rPr>
        <w:t>The establishment and maintenance of resource backed reserves are held for four main purposes:</w:t>
      </w:r>
    </w:p>
    <w:p w14:paraId="6677104B" w14:textId="77777777" w:rsidR="000A27AF" w:rsidRPr="002C7434" w:rsidRDefault="000A27AF" w:rsidP="000A27AF">
      <w:pPr>
        <w:pStyle w:val="ListParagraph"/>
        <w:numPr>
          <w:ilvl w:val="0"/>
          <w:numId w:val="10"/>
        </w:numPr>
        <w:autoSpaceDE w:val="0"/>
        <w:autoSpaceDN w:val="0"/>
        <w:adjustRightInd w:val="0"/>
        <w:spacing w:after="0" w:line="240" w:lineRule="auto"/>
        <w:jc w:val="both"/>
        <w:rPr>
          <w:rFonts w:ascii="Arial" w:hAnsi="Arial" w:cs="Arial"/>
          <w:color w:val="000000"/>
          <w:sz w:val="24"/>
          <w:szCs w:val="24"/>
        </w:rPr>
      </w:pPr>
      <w:r w:rsidRPr="002C7434">
        <w:rPr>
          <w:rFonts w:ascii="Arial" w:hAnsi="Arial" w:cs="Arial"/>
          <w:color w:val="000000"/>
          <w:sz w:val="24"/>
          <w:szCs w:val="24"/>
        </w:rPr>
        <w:t>As a working balance to help cushion the impact of uneven cash flows and avoid unnecessary temporary borrowing – this forms part of general reserves.</w:t>
      </w:r>
    </w:p>
    <w:p w14:paraId="00B9067C" w14:textId="77777777" w:rsidR="000A27AF" w:rsidRPr="002C7434" w:rsidRDefault="000A27AF" w:rsidP="000A27AF">
      <w:pPr>
        <w:pStyle w:val="ListParagraph"/>
        <w:numPr>
          <w:ilvl w:val="0"/>
          <w:numId w:val="10"/>
        </w:numPr>
        <w:autoSpaceDE w:val="0"/>
        <w:autoSpaceDN w:val="0"/>
        <w:adjustRightInd w:val="0"/>
        <w:spacing w:after="0" w:line="240" w:lineRule="auto"/>
        <w:jc w:val="both"/>
        <w:rPr>
          <w:rFonts w:ascii="Arial" w:hAnsi="Arial" w:cs="Arial"/>
          <w:color w:val="000000"/>
          <w:sz w:val="24"/>
          <w:szCs w:val="24"/>
        </w:rPr>
      </w:pPr>
      <w:r w:rsidRPr="002C7434">
        <w:rPr>
          <w:rFonts w:ascii="Arial" w:hAnsi="Arial" w:cs="Arial"/>
          <w:color w:val="000000"/>
          <w:sz w:val="24"/>
          <w:szCs w:val="24"/>
        </w:rPr>
        <w:t>Provide funds to cushion the impact of unexpected events or emergencies -this also forms part of general reserves.</w:t>
      </w:r>
    </w:p>
    <w:p w14:paraId="553A727A" w14:textId="77777777" w:rsidR="000A27AF" w:rsidRPr="002C7434" w:rsidRDefault="000A27AF" w:rsidP="000A27AF">
      <w:pPr>
        <w:pStyle w:val="ListParagraph"/>
        <w:numPr>
          <w:ilvl w:val="0"/>
          <w:numId w:val="10"/>
        </w:numPr>
        <w:autoSpaceDE w:val="0"/>
        <w:autoSpaceDN w:val="0"/>
        <w:adjustRightInd w:val="0"/>
        <w:spacing w:after="0" w:line="240" w:lineRule="auto"/>
        <w:jc w:val="both"/>
        <w:rPr>
          <w:rFonts w:ascii="Arial" w:hAnsi="Arial" w:cs="Arial"/>
          <w:color w:val="000000"/>
          <w:sz w:val="24"/>
          <w:szCs w:val="24"/>
        </w:rPr>
      </w:pPr>
      <w:r w:rsidRPr="002C7434">
        <w:rPr>
          <w:rFonts w:ascii="Arial" w:hAnsi="Arial" w:cs="Arial"/>
          <w:color w:val="000000"/>
          <w:sz w:val="24"/>
          <w:szCs w:val="24"/>
        </w:rPr>
        <w:t>Provide funds for the purposes of managing risk e.g. insurance reserve; and</w:t>
      </w:r>
    </w:p>
    <w:p w14:paraId="3E468B56" w14:textId="77777777" w:rsidR="000A27AF" w:rsidRPr="002C7434" w:rsidRDefault="000A27AF" w:rsidP="000A27AF">
      <w:pPr>
        <w:pStyle w:val="ListParagraph"/>
        <w:numPr>
          <w:ilvl w:val="0"/>
          <w:numId w:val="10"/>
        </w:numPr>
        <w:autoSpaceDE w:val="0"/>
        <w:autoSpaceDN w:val="0"/>
        <w:adjustRightInd w:val="0"/>
        <w:spacing w:after="0" w:line="240" w:lineRule="auto"/>
        <w:jc w:val="both"/>
        <w:rPr>
          <w:rFonts w:ascii="Arial" w:hAnsi="Arial" w:cs="Arial"/>
          <w:color w:val="000000"/>
          <w:sz w:val="24"/>
          <w:szCs w:val="24"/>
        </w:rPr>
      </w:pPr>
      <w:r w:rsidRPr="002C7434">
        <w:rPr>
          <w:rFonts w:ascii="Arial" w:hAnsi="Arial" w:cs="Arial"/>
          <w:color w:val="000000"/>
          <w:sz w:val="24"/>
          <w:szCs w:val="24"/>
        </w:rPr>
        <w:t>As a means of building up funds, often referred to as earmarked reserves, to meet known or predicted requirements; earmarked reserves are accounted for separately but remain legally part of the reserves.</w:t>
      </w:r>
    </w:p>
    <w:p w14:paraId="335C3F74" w14:textId="77777777" w:rsidR="000A27AF" w:rsidRPr="002C7434" w:rsidRDefault="000A27AF" w:rsidP="000A27AF">
      <w:pPr>
        <w:autoSpaceDE w:val="0"/>
        <w:autoSpaceDN w:val="0"/>
        <w:adjustRightInd w:val="0"/>
        <w:spacing w:after="0" w:line="240" w:lineRule="auto"/>
        <w:jc w:val="both"/>
        <w:rPr>
          <w:rFonts w:ascii="Verdana" w:hAnsi="Verdana" w:cs="Verdana"/>
          <w:color w:val="000000"/>
          <w:sz w:val="23"/>
          <w:szCs w:val="23"/>
        </w:rPr>
      </w:pPr>
    </w:p>
    <w:p w14:paraId="74FB1D7A" w14:textId="77777777" w:rsidR="000A27AF" w:rsidRPr="002C7434" w:rsidRDefault="000A27AF" w:rsidP="000A27AF">
      <w:pPr>
        <w:pStyle w:val="ListParagraph"/>
        <w:numPr>
          <w:ilvl w:val="0"/>
          <w:numId w:val="2"/>
        </w:numPr>
        <w:jc w:val="both"/>
        <w:rPr>
          <w:rFonts w:ascii="Arial" w:hAnsi="Arial" w:cs="Arial"/>
          <w:color w:val="000000"/>
          <w:sz w:val="24"/>
          <w:szCs w:val="24"/>
        </w:rPr>
      </w:pPr>
      <w:r w:rsidRPr="002C7434">
        <w:rPr>
          <w:rFonts w:ascii="Arial" w:hAnsi="Arial" w:cs="Arial"/>
          <w:color w:val="000000"/>
          <w:sz w:val="24"/>
          <w:szCs w:val="24"/>
        </w:rPr>
        <w:t>The Chief Finance Officer (CFO) has a fiduciary duty to local taxpayers and must be satisfied that the decisions taken on balances and reserves represent proper stewardship of public funds. Within the existing statutory and regulatory framework, it is the responsibility of the CFO to advise about the level of reserves that they should hold and to ensure that there are clear protocols for their establishment and use. Reserves should not be held without a clear purpose.</w:t>
      </w:r>
    </w:p>
    <w:p w14:paraId="60A6D771" w14:textId="77777777" w:rsidR="000A27AF" w:rsidRPr="002C7434" w:rsidRDefault="000A27AF" w:rsidP="000A27AF">
      <w:pPr>
        <w:autoSpaceDE w:val="0"/>
        <w:autoSpaceDN w:val="0"/>
        <w:adjustRightInd w:val="0"/>
        <w:spacing w:after="0" w:line="240" w:lineRule="auto"/>
        <w:jc w:val="both"/>
        <w:rPr>
          <w:rFonts w:ascii="Arial" w:hAnsi="Arial" w:cs="Arial"/>
          <w:color w:val="000000"/>
          <w:sz w:val="24"/>
          <w:szCs w:val="24"/>
        </w:rPr>
      </w:pPr>
    </w:p>
    <w:p w14:paraId="7BA3E948" w14:textId="77777777" w:rsidR="000A27AF" w:rsidRPr="002C7434" w:rsidRDefault="000A27AF" w:rsidP="000A27AF">
      <w:pPr>
        <w:pStyle w:val="ListParagraph"/>
        <w:numPr>
          <w:ilvl w:val="0"/>
          <w:numId w:val="2"/>
        </w:numPr>
        <w:jc w:val="both"/>
        <w:rPr>
          <w:rFonts w:ascii="Arial" w:hAnsi="Arial" w:cs="Arial"/>
          <w:color w:val="000000"/>
          <w:sz w:val="24"/>
          <w:szCs w:val="24"/>
        </w:rPr>
      </w:pPr>
      <w:r w:rsidRPr="002C7434">
        <w:rPr>
          <w:rFonts w:ascii="Arial" w:hAnsi="Arial" w:cs="Arial"/>
          <w:color w:val="000000"/>
          <w:sz w:val="24"/>
          <w:szCs w:val="24"/>
        </w:rPr>
        <w:t>In assessing the appropriate level of reserves, they need to be not only adequate but are also necessary.</w:t>
      </w:r>
      <w:r>
        <w:rPr>
          <w:rFonts w:ascii="Arial" w:hAnsi="Arial" w:cs="Arial"/>
          <w:color w:val="000000"/>
          <w:sz w:val="24"/>
          <w:szCs w:val="24"/>
        </w:rPr>
        <w:t xml:space="preserve"> </w:t>
      </w:r>
      <w:r w:rsidRPr="002C7434">
        <w:rPr>
          <w:rFonts w:ascii="Arial" w:hAnsi="Arial" w:cs="Arial"/>
          <w:color w:val="000000"/>
          <w:sz w:val="24"/>
          <w:szCs w:val="24"/>
        </w:rPr>
        <w:t xml:space="preserve">This will involve an assessment of the financial risks faced by the organisation and the level of mitigation that can be put in place to reduce them.  </w:t>
      </w:r>
    </w:p>
    <w:p w14:paraId="5A396A30" w14:textId="77777777" w:rsidR="000A27AF" w:rsidRPr="002C7434" w:rsidRDefault="000A27AF" w:rsidP="000A27AF">
      <w:pPr>
        <w:pStyle w:val="ListParagraph"/>
        <w:ind w:left="360"/>
        <w:jc w:val="both"/>
        <w:rPr>
          <w:rFonts w:ascii="Arial" w:hAnsi="Arial" w:cs="Arial"/>
          <w:color w:val="000000"/>
          <w:sz w:val="24"/>
          <w:szCs w:val="24"/>
        </w:rPr>
      </w:pPr>
    </w:p>
    <w:p w14:paraId="67AB972A" w14:textId="77777777" w:rsidR="000A27AF" w:rsidRPr="00B0071D" w:rsidRDefault="000A27AF" w:rsidP="000A27AF">
      <w:pPr>
        <w:pStyle w:val="ListParagraph"/>
        <w:ind w:left="360"/>
        <w:jc w:val="both"/>
        <w:rPr>
          <w:rFonts w:ascii="Arial" w:hAnsi="Arial" w:cs="Arial"/>
          <w:color w:val="000000"/>
          <w:sz w:val="24"/>
          <w:szCs w:val="24"/>
          <w:u w:val="single"/>
        </w:rPr>
      </w:pPr>
      <w:r w:rsidRPr="00B0071D">
        <w:rPr>
          <w:rFonts w:ascii="Arial" w:hAnsi="Arial" w:cs="Arial"/>
          <w:color w:val="000000"/>
          <w:sz w:val="24"/>
          <w:szCs w:val="24"/>
          <w:u w:val="single"/>
        </w:rPr>
        <w:t>Review of Reserves</w:t>
      </w:r>
    </w:p>
    <w:p w14:paraId="3CD31D65" w14:textId="77777777" w:rsidR="000A27AF" w:rsidRPr="00B0071D" w:rsidRDefault="000A27AF" w:rsidP="000A27AF">
      <w:pPr>
        <w:pStyle w:val="ListParagraph"/>
        <w:ind w:left="360"/>
        <w:jc w:val="both"/>
        <w:rPr>
          <w:rFonts w:ascii="Arial" w:hAnsi="Arial" w:cs="Arial"/>
          <w:color w:val="000000"/>
          <w:sz w:val="24"/>
          <w:szCs w:val="24"/>
        </w:rPr>
      </w:pPr>
    </w:p>
    <w:p w14:paraId="0A1B7E31" w14:textId="77777777" w:rsidR="000A27AF" w:rsidRPr="00B0071D"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B0071D">
        <w:rPr>
          <w:rFonts w:ascii="Arial" w:hAnsi="Arial" w:cs="Arial"/>
          <w:color w:val="000000"/>
          <w:sz w:val="24"/>
          <w:szCs w:val="24"/>
        </w:rPr>
        <w:t xml:space="preserve">The Chartered Institute of Public Finance and Accountancy (CIPFA) guidance on Reserves and Balances (LAAP Bulletin No. 99 July 2014) and the requirements of the Code suggest twice yearly reviews of reserves. By doing this, the visibility of reserves is </w:t>
      </w:r>
      <w:proofErr w:type="gramStart"/>
      <w:r w:rsidRPr="00B0071D">
        <w:rPr>
          <w:rFonts w:ascii="Arial" w:hAnsi="Arial" w:cs="Arial"/>
          <w:color w:val="000000"/>
          <w:sz w:val="24"/>
          <w:szCs w:val="24"/>
        </w:rPr>
        <w:t>increased</w:t>
      </w:r>
      <w:proofErr w:type="gramEnd"/>
      <w:r w:rsidRPr="00B0071D">
        <w:rPr>
          <w:rFonts w:ascii="Arial" w:hAnsi="Arial" w:cs="Arial"/>
          <w:color w:val="000000"/>
          <w:sz w:val="24"/>
          <w:szCs w:val="24"/>
        </w:rPr>
        <w:t xml:space="preserve"> and consideration of their use is placed at the forefront of the decision-making process.</w:t>
      </w:r>
    </w:p>
    <w:p w14:paraId="5BC4D0C0" w14:textId="77777777" w:rsidR="000A27AF" w:rsidRPr="00B0071D" w:rsidRDefault="000A27AF" w:rsidP="000A27AF">
      <w:pPr>
        <w:pStyle w:val="ListParagraph"/>
        <w:autoSpaceDE w:val="0"/>
        <w:autoSpaceDN w:val="0"/>
        <w:adjustRightInd w:val="0"/>
        <w:spacing w:after="0" w:line="240" w:lineRule="auto"/>
        <w:ind w:left="360"/>
        <w:jc w:val="both"/>
        <w:rPr>
          <w:rFonts w:ascii="Arial" w:hAnsi="Arial" w:cs="Arial"/>
          <w:color w:val="000000"/>
          <w:sz w:val="24"/>
          <w:szCs w:val="24"/>
        </w:rPr>
      </w:pPr>
    </w:p>
    <w:p w14:paraId="2889435F" w14:textId="77777777" w:rsidR="000A27AF" w:rsidRPr="00B0071D"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B0071D">
        <w:rPr>
          <w:rFonts w:ascii="Arial" w:hAnsi="Arial" w:cs="Arial"/>
          <w:color w:val="000000"/>
          <w:sz w:val="24"/>
          <w:szCs w:val="24"/>
        </w:rPr>
        <w:t>In accordance with good practice, reserves are reviewed for adequacy at the time that the statements of accounts are prepared (April/May) and again when the budget and MTFS are prepared (November/December).</w:t>
      </w:r>
    </w:p>
    <w:p w14:paraId="34EA6363" w14:textId="77777777" w:rsidR="000A27AF" w:rsidRPr="0050145D" w:rsidRDefault="000A27AF" w:rsidP="000A27AF">
      <w:pPr>
        <w:autoSpaceDE w:val="0"/>
        <w:autoSpaceDN w:val="0"/>
        <w:adjustRightInd w:val="0"/>
        <w:spacing w:after="0" w:line="240" w:lineRule="auto"/>
        <w:jc w:val="both"/>
        <w:rPr>
          <w:rFonts w:ascii="Arial" w:hAnsi="Arial" w:cs="Arial"/>
          <w:color w:val="000000"/>
          <w:sz w:val="24"/>
          <w:szCs w:val="24"/>
          <w:highlight w:val="yellow"/>
        </w:rPr>
      </w:pPr>
    </w:p>
    <w:p w14:paraId="1EF39892" w14:textId="77777777" w:rsidR="000A27AF" w:rsidRPr="00995A6B" w:rsidRDefault="000A27AF" w:rsidP="000A27AF">
      <w:pPr>
        <w:autoSpaceDE w:val="0"/>
        <w:autoSpaceDN w:val="0"/>
        <w:adjustRightInd w:val="0"/>
        <w:spacing w:after="0" w:line="240" w:lineRule="auto"/>
        <w:ind w:firstLine="360"/>
        <w:jc w:val="both"/>
        <w:rPr>
          <w:rFonts w:ascii="Arial" w:hAnsi="Arial" w:cs="Arial"/>
          <w:color w:val="000000"/>
          <w:sz w:val="24"/>
          <w:szCs w:val="24"/>
          <w:u w:val="single"/>
        </w:rPr>
      </w:pPr>
      <w:r w:rsidRPr="00995A6B">
        <w:rPr>
          <w:rFonts w:ascii="Arial" w:hAnsi="Arial" w:cs="Arial"/>
          <w:color w:val="000000"/>
          <w:sz w:val="24"/>
          <w:szCs w:val="24"/>
          <w:u w:val="single"/>
        </w:rPr>
        <w:t>Surrey Reserves</w:t>
      </w:r>
    </w:p>
    <w:p w14:paraId="0230D715" w14:textId="77777777" w:rsidR="000A27AF" w:rsidRPr="00995A6B" w:rsidRDefault="000A27AF" w:rsidP="000A27AF">
      <w:pPr>
        <w:autoSpaceDE w:val="0"/>
        <w:autoSpaceDN w:val="0"/>
        <w:adjustRightInd w:val="0"/>
        <w:spacing w:after="0" w:line="240" w:lineRule="auto"/>
        <w:ind w:firstLine="360"/>
        <w:jc w:val="both"/>
        <w:rPr>
          <w:rFonts w:ascii="Arial" w:hAnsi="Arial" w:cs="Arial"/>
          <w:color w:val="000000"/>
          <w:sz w:val="24"/>
          <w:szCs w:val="24"/>
        </w:rPr>
      </w:pPr>
    </w:p>
    <w:p w14:paraId="26B80364" w14:textId="77777777" w:rsidR="000A27AF" w:rsidRPr="00995A6B"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995A6B">
        <w:rPr>
          <w:rFonts w:ascii="Arial" w:hAnsi="Arial" w:cs="Arial"/>
          <w:color w:val="000000"/>
          <w:sz w:val="24"/>
          <w:szCs w:val="24"/>
        </w:rPr>
        <w:lastRenderedPageBreak/>
        <w:t xml:space="preserve">All reserves are under the ownership and control of the PCC and the PCC must retain adequate reserves so that unexpected budget pressures can be met without having a detrimental impact on normal day to day operational activities. The PCC’s policy on reserves is based on an understanding of the organisation’s needs and risks. Part of this process is to give a clear explanation of the existing and proposed use of reserves. </w:t>
      </w:r>
    </w:p>
    <w:p w14:paraId="7C66E719" w14:textId="77777777" w:rsidR="000A27AF" w:rsidRPr="00995A6B" w:rsidRDefault="000A27AF" w:rsidP="000A27AF">
      <w:pPr>
        <w:pStyle w:val="ListParagraph"/>
        <w:autoSpaceDE w:val="0"/>
        <w:autoSpaceDN w:val="0"/>
        <w:adjustRightInd w:val="0"/>
        <w:spacing w:after="0" w:line="240" w:lineRule="auto"/>
        <w:ind w:left="360"/>
        <w:jc w:val="both"/>
        <w:rPr>
          <w:rFonts w:ascii="Arial" w:hAnsi="Arial" w:cs="Arial"/>
          <w:color w:val="000000"/>
          <w:sz w:val="24"/>
          <w:szCs w:val="24"/>
        </w:rPr>
      </w:pPr>
    </w:p>
    <w:p w14:paraId="12BC9DC6" w14:textId="77777777" w:rsidR="000A27AF" w:rsidRPr="00995A6B"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995A6B">
        <w:rPr>
          <w:rFonts w:ascii="Arial" w:hAnsi="Arial" w:cs="Arial"/>
          <w:color w:val="000000"/>
          <w:sz w:val="24"/>
          <w:szCs w:val="24"/>
        </w:rPr>
        <w:t>The PCC plans to maintain the general reserve at the 3% of net budget requirement in line with the Reserves Strategy. Specific reserves are only employed for expected risks or to build up funds for a major project or expense.</w:t>
      </w:r>
    </w:p>
    <w:p w14:paraId="68FD79C9" w14:textId="77777777" w:rsidR="000A27AF" w:rsidRPr="00995A6B" w:rsidRDefault="000A27AF" w:rsidP="000A27AF">
      <w:pPr>
        <w:pStyle w:val="ListParagraph"/>
        <w:jc w:val="both"/>
        <w:rPr>
          <w:rFonts w:ascii="Arial" w:hAnsi="Arial" w:cs="Arial"/>
          <w:color w:val="000000"/>
          <w:sz w:val="24"/>
          <w:szCs w:val="24"/>
        </w:rPr>
      </w:pPr>
    </w:p>
    <w:p w14:paraId="5F361173" w14:textId="77777777" w:rsidR="000A27AF" w:rsidRPr="00995A6B"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995A6B">
        <w:rPr>
          <w:rFonts w:ascii="Arial" w:hAnsi="Arial" w:cs="Arial"/>
          <w:color w:val="000000"/>
          <w:sz w:val="24"/>
          <w:szCs w:val="24"/>
        </w:rPr>
        <w:t xml:space="preserve">A breakdown of the reserves held by the PCC on behalf of the Surrey Police Group is set out in the following table. </w:t>
      </w:r>
    </w:p>
    <w:p w14:paraId="3848452A" w14:textId="77777777" w:rsidR="000A27AF" w:rsidRPr="0050145D" w:rsidRDefault="000A27AF" w:rsidP="000A27AF">
      <w:pPr>
        <w:autoSpaceDE w:val="0"/>
        <w:autoSpaceDN w:val="0"/>
        <w:adjustRightInd w:val="0"/>
        <w:spacing w:after="0" w:line="240" w:lineRule="auto"/>
        <w:jc w:val="both"/>
        <w:rPr>
          <w:rFonts w:ascii="Arial" w:hAnsi="Arial" w:cs="Arial"/>
          <w:color w:val="000000"/>
          <w:sz w:val="24"/>
          <w:szCs w:val="24"/>
          <w:highlight w:val="yellow"/>
        </w:rPr>
      </w:pPr>
    </w:p>
    <w:tbl>
      <w:tblPr>
        <w:tblStyle w:val="TableGrid"/>
        <w:tblW w:w="0" w:type="auto"/>
        <w:tblInd w:w="562" w:type="dxa"/>
        <w:tblLook w:val="04A0" w:firstRow="1" w:lastRow="0" w:firstColumn="1" w:lastColumn="0" w:noHBand="0" w:noVBand="1"/>
      </w:tblPr>
      <w:tblGrid>
        <w:gridCol w:w="5840"/>
        <w:gridCol w:w="1307"/>
        <w:gridCol w:w="1307"/>
      </w:tblGrid>
      <w:tr w:rsidR="000A27AF" w:rsidRPr="00B76F59" w14:paraId="59815DC0" w14:textId="77777777" w:rsidTr="00BD14BB">
        <w:tc>
          <w:tcPr>
            <w:tcW w:w="5840" w:type="dxa"/>
          </w:tcPr>
          <w:p w14:paraId="479234AC" w14:textId="77777777" w:rsidR="000A27AF" w:rsidRPr="00B76F59" w:rsidRDefault="000A27AF" w:rsidP="00BD14BB">
            <w:pPr>
              <w:pStyle w:val="NoSpacing"/>
              <w:jc w:val="both"/>
              <w:rPr>
                <w:rFonts w:ascii="Arial" w:hAnsi="Arial" w:cs="Arial"/>
                <w:i/>
                <w:iCs/>
                <w:snapToGrid w:val="0"/>
                <w:sz w:val="24"/>
                <w:szCs w:val="24"/>
              </w:rPr>
            </w:pPr>
            <w:r w:rsidRPr="00B76F59">
              <w:rPr>
                <w:rFonts w:ascii="Arial" w:hAnsi="Arial" w:cs="Arial"/>
                <w:i/>
                <w:iCs/>
                <w:snapToGrid w:val="0"/>
                <w:sz w:val="24"/>
                <w:szCs w:val="24"/>
              </w:rPr>
              <w:t>Estimated figures assuming all savings achieved and no additional spend</w:t>
            </w:r>
          </w:p>
        </w:tc>
        <w:tc>
          <w:tcPr>
            <w:tcW w:w="1307" w:type="dxa"/>
          </w:tcPr>
          <w:p w14:paraId="4EFB9136" w14:textId="77777777" w:rsidR="000A27AF" w:rsidRPr="00B76F59" w:rsidRDefault="000A27AF" w:rsidP="00BD14BB">
            <w:pPr>
              <w:pStyle w:val="NoSpacing"/>
              <w:jc w:val="both"/>
              <w:rPr>
                <w:rFonts w:ascii="Arial" w:hAnsi="Arial" w:cs="Arial"/>
                <w:b/>
                <w:bCs/>
                <w:snapToGrid w:val="0"/>
                <w:sz w:val="24"/>
                <w:szCs w:val="24"/>
              </w:rPr>
            </w:pPr>
            <w:r w:rsidRPr="00B76F59">
              <w:rPr>
                <w:rFonts w:ascii="Arial" w:hAnsi="Arial" w:cs="Arial"/>
                <w:b/>
                <w:bCs/>
                <w:snapToGrid w:val="0"/>
                <w:sz w:val="24"/>
                <w:szCs w:val="24"/>
              </w:rPr>
              <w:t>31</w:t>
            </w:r>
            <w:r w:rsidRPr="00B76F59">
              <w:rPr>
                <w:rFonts w:ascii="Arial" w:hAnsi="Arial" w:cs="Arial"/>
                <w:b/>
                <w:bCs/>
                <w:snapToGrid w:val="0"/>
                <w:sz w:val="24"/>
                <w:szCs w:val="24"/>
                <w:vertAlign w:val="superscript"/>
              </w:rPr>
              <w:t>st</w:t>
            </w:r>
            <w:r w:rsidRPr="00B76F59">
              <w:rPr>
                <w:rFonts w:ascii="Arial" w:hAnsi="Arial" w:cs="Arial"/>
                <w:b/>
                <w:bCs/>
                <w:snapToGrid w:val="0"/>
                <w:sz w:val="24"/>
                <w:szCs w:val="24"/>
              </w:rPr>
              <w:t xml:space="preserve"> March 2025</w:t>
            </w:r>
          </w:p>
          <w:p w14:paraId="23FE9F95" w14:textId="77777777" w:rsidR="000A27AF" w:rsidRPr="00B76F59" w:rsidRDefault="000A27AF" w:rsidP="00BD14BB">
            <w:pPr>
              <w:pStyle w:val="NoSpacing"/>
              <w:jc w:val="both"/>
              <w:rPr>
                <w:rFonts w:ascii="Arial" w:hAnsi="Arial" w:cs="Arial"/>
                <w:b/>
                <w:bCs/>
                <w:snapToGrid w:val="0"/>
                <w:sz w:val="24"/>
                <w:szCs w:val="24"/>
              </w:rPr>
            </w:pPr>
            <w:r w:rsidRPr="00B76F59">
              <w:rPr>
                <w:rFonts w:ascii="Arial" w:hAnsi="Arial" w:cs="Arial"/>
                <w:b/>
                <w:bCs/>
                <w:snapToGrid w:val="0"/>
                <w:sz w:val="24"/>
                <w:szCs w:val="24"/>
              </w:rPr>
              <w:t>£m</w:t>
            </w:r>
          </w:p>
        </w:tc>
        <w:tc>
          <w:tcPr>
            <w:tcW w:w="1307" w:type="dxa"/>
          </w:tcPr>
          <w:p w14:paraId="7A3CDE3C" w14:textId="77777777" w:rsidR="000A27AF" w:rsidRPr="00B76F59" w:rsidRDefault="000A27AF" w:rsidP="00BD14BB">
            <w:pPr>
              <w:pStyle w:val="NoSpacing"/>
              <w:jc w:val="both"/>
              <w:rPr>
                <w:rFonts w:ascii="Arial" w:hAnsi="Arial" w:cs="Arial"/>
                <w:b/>
                <w:bCs/>
                <w:snapToGrid w:val="0"/>
                <w:sz w:val="24"/>
                <w:szCs w:val="24"/>
              </w:rPr>
            </w:pPr>
            <w:r w:rsidRPr="00B76F59">
              <w:rPr>
                <w:rFonts w:ascii="Arial" w:hAnsi="Arial" w:cs="Arial"/>
                <w:b/>
                <w:bCs/>
                <w:snapToGrid w:val="0"/>
                <w:sz w:val="24"/>
                <w:szCs w:val="24"/>
              </w:rPr>
              <w:t>31</w:t>
            </w:r>
            <w:r w:rsidRPr="00B76F59">
              <w:rPr>
                <w:rFonts w:ascii="Arial" w:hAnsi="Arial" w:cs="Arial"/>
                <w:b/>
                <w:bCs/>
                <w:snapToGrid w:val="0"/>
                <w:sz w:val="24"/>
                <w:szCs w:val="24"/>
                <w:vertAlign w:val="superscript"/>
              </w:rPr>
              <w:t>st</w:t>
            </w:r>
            <w:r w:rsidRPr="00B76F59">
              <w:rPr>
                <w:rFonts w:ascii="Arial" w:hAnsi="Arial" w:cs="Arial"/>
                <w:b/>
                <w:bCs/>
                <w:snapToGrid w:val="0"/>
                <w:sz w:val="24"/>
                <w:szCs w:val="24"/>
              </w:rPr>
              <w:t xml:space="preserve"> March</w:t>
            </w:r>
          </w:p>
          <w:p w14:paraId="0C268C1A" w14:textId="77777777" w:rsidR="000A27AF" w:rsidRPr="00B76F59" w:rsidRDefault="000A27AF" w:rsidP="00BD14BB">
            <w:pPr>
              <w:pStyle w:val="NoSpacing"/>
              <w:jc w:val="both"/>
              <w:rPr>
                <w:rFonts w:ascii="Arial" w:hAnsi="Arial" w:cs="Arial"/>
                <w:b/>
                <w:bCs/>
                <w:snapToGrid w:val="0"/>
                <w:sz w:val="24"/>
                <w:szCs w:val="24"/>
              </w:rPr>
            </w:pPr>
            <w:r w:rsidRPr="00B76F59">
              <w:rPr>
                <w:rFonts w:ascii="Arial" w:hAnsi="Arial" w:cs="Arial"/>
                <w:b/>
                <w:bCs/>
                <w:snapToGrid w:val="0"/>
                <w:sz w:val="24"/>
                <w:szCs w:val="24"/>
              </w:rPr>
              <w:t>2026</w:t>
            </w:r>
          </w:p>
          <w:p w14:paraId="3DD96EED" w14:textId="77777777" w:rsidR="000A27AF" w:rsidRPr="00B76F59" w:rsidRDefault="000A27AF" w:rsidP="00BD14BB">
            <w:pPr>
              <w:pStyle w:val="NoSpacing"/>
              <w:jc w:val="both"/>
              <w:rPr>
                <w:rFonts w:ascii="Arial" w:hAnsi="Arial" w:cs="Arial"/>
                <w:b/>
                <w:bCs/>
                <w:snapToGrid w:val="0"/>
                <w:sz w:val="24"/>
                <w:szCs w:val="24"/>
              </w:rPr>
            </w:pPr>
            <w:r w:rsidRPr="00B76F59">
              <w:rPr>
                <w:rFonts w:ascii="Arial" w:hAnsi="Arial" w:cs="Arial"/>
                <w:b/>
                <w:bCs/>
                <w:snapToGrid w:val="0"/>
                <w:sz w:val="24"/>
                <w:szCs w:val="24"/>
              </w:rPr>
              <w:t>£m</w:t>
            </w:r>
          </w:p>
        </w:tc>
      </w:tr>
      <w:tr w:rsidR="000A27AF" w:rsidRPr="00B76F59" w14:paraId="15FD9AFA" w14:textId="77777777" w:rsidTr="00BD14BB">
        <w:tc>
          <w:tcPr>
            <w:tcW w:w="5840" w:type="dxa"/>
          </w:tcPr>
          <w:p w14:paraId="52F67EEB" w14:textId="77777777" w:rsidR="000A27AF" w:rsidRPr="00B76F59" w:rsidRDefault="000A27AF" w:rsidP="00BD14BB">
            <w:pPr>
              <w:pStyle w:val="NoSpacing"/>
              <w:spacing w:before="120"/>
              <w:jc w:val="both"/>
              <w:rPr>
                <w:rFonts w:ascii="Arial" w:hAnsi="Arial" w:cs="Arial"/>
                <w:b/>
                <w:bCs/>
                <w:snapToGrid w:val="0"/>
                <w:sz w:val="24"/>
                <w:szCs w:val="24"/>
              </w:rPr>
            </w:pPr>
            <w:r w:rsidRPr="00B76F59">
              <w:rPr>
                <w:rFonts w:ascii="Arial" w:hAnsi="Arial" w:cs="Arial"/>
                <w:b/>
                <w:bCs/>
                <w:snapToGrid w:val="0"/>
                <w:sz w:val="24"/>
                <w:szCs w:val="24"/>
              </w:rPr>
              <w:t>General Reserves</w:t>
            </w:r>
          </w:p>
        </w:tc>
        <w:tc>
          <w:tcPr>
            <w:tcW w:w="1307" w:type="dxa"/>
          </w:tcPr>
          <w:p w14:paraId="556FD3FD" w14:textId="77777777" w:rsidR="000A27AF" w:rsidRPr="00B76F59" w:rsidRDefault="000A27AF" w:rsidP="00BD14BB">
            <w:pPr>
              <w:pStyle w:val="NoSpacing"/>
              <w:spacing w:before="120"/>
              <w:jc w:val="both"/>
              <w:rPr>
                <w:rFonts w:ascii="Arial" w:hAnsi="Arial" w:cs="Arial"/>
                <w:b/>
                <w:bCs/>
                <w:snapToGrid w:val="0"/>
                <w:sz w:val="24"/>
                <w:szCs w:val="24"/>
              </w:rPr>
            </w:pPr>
            <w:r w:rsidRPr="00B76F59">
              <w:rPr>
                <w:rFonts w:ascii="Arial" w:hAnsi="Arial" w:cs="Arial"/>
                <w:b/>
                <w:bCs/>
                <w:snapToGrid w:val="0"/>
                <w:sz w:val="24"/>
                <w:szCs w:val="24"/>
              </w:rPr>
              <w:t>10.8</w:t>
            </w:r>
          </w:p>
        </w:tc>
        <w:tc>
          <w:tcPr>
            <w:tcW w:w="1307" w:type="dxa"/>
          </w:tcPr>
          <w:p w14:paraId="3E2469DA" w14:textId="77777777" w:rsidR="000A27AF" w:rsidRPr="00B76F59" w:rsidRDefault="000A27AF" w:rsidP="00BD14BB">
            <w:pPr>
              <w:pStyle w:val="NoSpacing"/>
              <w:spacing w:before="120"/>
              <w:jc w:val="both"/>
              <w:rPr>
                <w:rFonts w:ascii="Arial" w:hAnsi="Arial" w:cs="Arial"/>
                <w:b/>
                <w:bCs/>
                <w:snapToGrid w:val="0"/>
                <w:sz w:val="24"/>
                <w:szCs w:val="24"/>
              </w:rPr>
            </w:pPr>
            <w:r w:rsidRPr="00B76F59">
              <w:rPr>
                <w:rFonts w:ascii="Arial" w:hAnsi="Arial" w:cs="Arial"/>
                <w:b/>
                <w:bCs/>
                <w:snapToGrid w:val="0"/>
                <w:sz w:val="24"/>
                <w:szCs w:val="24"/>
              </w:rPr>
              <w:t>10.8</w:t>
            </w:r>
          </w:p>
        </w:tc>
      </w:tr>
      <w:tr w:rsidR="000A27AF" w:rsidRPr="00B76F59" w14:paraId="0D2CA5E1" w14:textId="77777777" w:rsidTr="00BD14BB">
        <w:tc>
          <w:tcPr>
            <w:tcW w:w="5840" w:type="dxa"/>
          </w:tcPr>
          <w:p w14:paraId="3D2F26F0" w14:textId="77777777" w:rsidR="000A27AF" w:rsidRPr="00B76F59" w:rsidRDefault="000A27AF" w:rsidP="00BD14BB">
            <w:pPr>
              <w:pStyle w:val="NoSpacing"/>
              <w:spacing w:before="120"/>
              <w:jc w:val="both"/>
              <w:rPr>
                <w:rFonts w:ascii="Arial" w:hAnsi="Arial" w:cs="Arial"/>
                <w:b/>
                <w:bCs/>
                <w:snapToGrid w:val="0"/>
                <w:sz w:val="24"/>
                <w:szCs w:val="24"/>
              </w:rPr>
            </w:pPr>
            <w:r w:rsidRPr="00B76F59">
              <w:rPr>
                <w:rFonts w:ascii="Arial" w:hAnsi="Arial" w:cs="Arial"/>
                <w:b/>
                <w:bCs/>
                <w:snapToGrid w:val="0"/>
                <w:sz w:val="24"/>
                <w:szCs w:val="24"/>
              </w:rPr>
              <w:t>Earmarked Reserves</w:t>
            </w:r>
          </w:p>
        </w:tc>
        <w:tc>
          <w:tcPr>
            <w:tcW w:w="1307" w:type="dxa"/>
          </w:tcPr>
          <w:p w14:paraId="54F58EEA" w14:textId="77777777" w:rsidR="000A27AF" w:rsidRPr="00B76F59" w:rsidRDefault="000A27AF" w:rsidP="00BD14BB">
            <w:pPr>
              <w:pStyle w:val="NoSpacing"/>
              <w:spacing w:before="120"/>
              <w:jc w:val="both"/>
              <w:rPr>
                <w:rFonts w:ascii="Arial" w:hAnsi="Arial" w:cs="Arial"/>
                <w:snapToGrid w:val="0"/>
                <w:sz w:val="24"/>
                <w:szCs w:val="24"/>
              </w:rPr>
            </w:pPr>
          </w:p>
        </w:tc>
        <w:tc>
          <w:tcPr>
            <w:tcW w:w="1307" w:type="dxa"/>
          </w:tcPr>
          <w:p w14:paraId="6B789D04" w14:textId="77777777" w:rsidR="000A27AF" w:rsidRPr="00B76F59" w:rsidRDefault="000A27AF" w:rsidP="00BD14BB">
            <w:pPr>
              <w:pStyle w:val="NoSpacing"/>
              <w:spacing w:before="120"/>
              <w:jc w:val="both"/>
              <w:rPr>
                <w:rFonts w:ascii="Arial" w:hAnsi="Arial" w:cs="Arial"/>
                <w:snapToGrid w:val="0"/>
                <w:sz w:val="24"/>
                <w:szCs w:val="24"/>
              </w:rPr>
            </w:pPr>
          </w:p>
        </w:tc>
      </w:tr>
      <w:tr w:rsidR="000A27AF" w:rsidRPr="00B76F59" w14:paraId="63D37F20" w14:textId="77777777" w:rsidTr="00BD14BB">
        <w:tc>
          <w:tcPr>
            <w:tcW w:w="5840" w:type="dxa"/>
          </w:tcPr>
          <w:p w14:paraId="04E4734C" w14:textId="77777777" w:rsidR="000A27AF" w:rsidRPr="00B76F59" w:rsidRDefault="000A27AF" w:rsidP="00BD14BB">
            <w:pPr>
              <w:pStyle w:val="NoSpacing"/>
              <w:spacing w:before="120"/>
              <w:jc w:val="both"/>
              <w:rPr>
                <w:rFonts w:ascii="Arial" w:hAnsi="Arial" w:cs="Arial"/>
                <w:i/>
                <w:iCs/>
                <w:snapToGrid w:val="0"/>
                <w:sz w:val="24"/>
                <w:szCs w:val="24"/>
              </w:rPr>
            </w:pPr>
            <w:r w:rsidRPr="00B76F59">
              <w:rPr>
                <w:rFonts w:ascii="Arial" w:hAnsi="Arial" w:cs="Arial"/>
                <w:snapToGrid w:val="0"/>
                <w:sz w:val="24"/>
                <w:szCs w:val="24"/>
              </w:rPr>
              <w:t xml:space="preserve">OPCC Operational - </w:t>
            </w:r>
            <w:r w:rsidRPr="00B76F59">
              <w:rPr>
                <w:rFonts w:ascii="Arial" w:hAnsi="Arial" w:cs="Arial"/>
                <w:i/>
                <w:iCs/>
                <w:snapToGrid w:val="0"/>
                <w:sz w:val="24"/>
                <w:szCs w:val="24"/>
              </w:rPr>
              <w:t>For use by the PCC</w:t>
            </w:r>
          </w:p>
        </w:tc>
        <w:tc>
          <w:tcPr>
            <w:tcW w:w="1307" w:type="dxa"/>
          </w:tcPr>
          <w:p w14:paraId="4B27D3D2"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1.2</w:t>
            </w:r>
          </w:p>
        </w:tc>
        <w:tc>
          <w:tcPr>
            <w:tcW w:w="1307" w:type="dxa"/>
          </w:tcPr>
          <w:p w14:paraId="51F5F562"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1.2</w:t>
            </w:r>
          </w:p>
        </w:tc>
      </w:tr>
      <w:tr w:rsidR="000A27AF" w:rsidRPr="00B76F59" w14:paraId="727CC33B" w14:textId="77777777" w:rsidTr="00BD14BB">
        <w:tc>
          <w:tcPr>
            <w:tcW w:w="5840" w:type="dxa"/>
          </w:tcPr>
          <w:p w14:paraId="43C0D640" w14:textId="77777777" w:rsidR="000A27AF" w:rsidRPr="00B76F59" w:rsidRDefault="000A27AF" w:rsidP="00BD14BB">
            <w:pPr>
              <w:pStyle w:val="NoSpacing"/>
              <w:spacing w:before="120"/>
              <w:jc w:val="both"/>
              <w:rPr>
                <w:rFonts w:ascii="Arial" w:hAnsi="Arial" w:cs="Arial"/>
                <w:i/>
                <w:iCs/>
                <w:snapToGrid w:val="0"/>
                <w:sz w:val="24"/>
                <w:szCs w:val="24"/>
              </w:rPr>
            </w:pPr>
            <w:r w:rsidRPr="00B76F59">
              <w:rPr>
                <w:rFonts w:ascii="Arial" w:hAnsi="Arial" w:cs="Arial"/>
                <w:snapToGrid w:val="0"/>
                <w:sz w:val="24"/>
                <w:szCs w:val="24"/>
              </w:rPr>
              <w:t xml:space="preserve">CC Operational – </w:t>
            </w:r>
            <w:r w:rsidRPr="00B76F59">
              <w:rPr>
                <w:rFonts w:ascii="Arial" w:hAnsi="Arial" w:cs="Arial"/>
                <w:i/>
                <w:iCs/>
                <w:snapToGrid w:val="0"/>
                <w:sz w:val="24"/>
                <w:szCs w:val="24"/>
              </w:rPr>
              <w:t>For use by the CC</w:t>
            </w:r>
          </w:p>
        </w:tc>
        <w:tc>
          <w:tcPr>
            <w:tcW w:w="1307" w:type="dxa"/>
          </w:tcPr>
          <w:p w14:paraId="57E8371B"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6.0</w:t>
            </w:r>
          </w:p>
        </w:tc>
        <w:tc>
          <w:tcPr>
            <w:tcW w:w="1307" w:type="dxa"/>
          </w:tcPr>
          <w:p w14:paraId="0296E932"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2.7</w:t>
            </w:r>
          </w:p>
        </w:tc>
      </w:tr>
      <w:tr w:rsidR="000A27AF" w:rsidRPr="00B76F59" w14:paraId="62D29E73" w14:textId="77777777" w:rsidTr="00BD14BB">
        <w:tc>
          <w:tcPr>
            <w:tcW w:w="5840" w:type="dxa"/>
          </w:tcPr>
          <w:p w14:paraId="375AA4C0" w14:textId="77777777" w:rsidR="000A27AF" w:rsidRPr="00B76F59" w:rsidRDefault="000A27AF" w:rsidP="00BD14BB">
            <w:pPr>
              <w:pStyle w:val="NoSpacing"/>
              <w:spacing w:before="120"/>
              <w:jc w:val="both"/>
              <w:rPr>
                <w:rFonts w:ascii="Arial" w:hAnsi="Arial" w:cs="Arial"/>
                <w:i/>
                <w:iCs/>
                <w:snapToGrid w:val="0"/>
                <w:sz w:val="24"/>
                <w:szCs w:val="24"/>
              </w:rPr>
            </w:pPr>
            <w:r w:rsidRPr="00B76F59">
              <w:rPr>
                <w:rFonts w:ascii="Arial" w:hAnsi="Arial" w:cs="Arial"/>
                <w:snapToGrid w:val="0"/>
                <w:sz w:val="24"/>
                <w:szCs w:val="24"/>
              </w:rPr>
              <w:t xml:space="preserve">Cost of Change – </w:t>
            </w:r>
            <w:r w:rsidRPr="00B76F59">
              <w:rPr>
                <w:rFonts w:ascii="Arial" w:hAnsi="Arial" w:cs="Arial"/>
                <w:i/>
                <w:iCs/>
                <w:snapToGrid w:val="0"/>
                <w:sz w:val="24"/>
                <w:szCs w:val="24"/>
              </w:rPr>
              <w:t>to improve efficiency and productivity</w:t>
            </w:r>
          </w:p>
        </w:tc>
        <w:tc>
          <w:tcPr>
            <w:tcW w:w="1307" w:type="dxa"/>
          </w:tcPr>
          <w:p w14:paraId="2B6F1CF6"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7.0</w:t>
            </w:r>
          </w:p>
        </w:tc>
        <w:tc>
          <w:tcPr>
            <w:tcW w:w="1307" w:type="dxa"/>
          </w:tcPr>
          <w:p w14:paraId="60B6E095"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4.3</w:t>
            </w:r>
          </w:p>
        </w:tc>
      </w:tr>
      <w:tr w:rsidR="000A27AF" w:rsidRPr="00B76F59" w14:paraId="32921359" w14:textId="77777777" w:rsidTr="00BD14BB">
        <w:tc>
          <w:tcPr>
            <w:tcW w:w="5840" w:type="dxa"/>
          </w:tcPr>
          <w:p w14:paraId="45159850" w14:textId="77777777" w:rsidR="000A27AF" w:rsidRPr="00B76F59" w:rsidRDefault="000A27AF" w:rsidP="00BD14BB">
            <w:pPr>
              <w:pStyle w:val="NoSpacing"/>
              <w:spacing w:before="120"/>
              <w:jc w:val="both"/>
              <w:rPr>
                <w:rFonts w:ascii="Arial" w:hAnsi="Arial" w:cs="Arial"/>
                <w:i/>
                <w:iCs/>
                <w:snapToGrid w:val="0"/>
                <w:sz w:val="24"/>
                <w:szCs w:val="24"/>
              </w:rPr>
            </w:pPr>
            <w:r w:rsidRPr="00B76F59">
              <w:rPr>
                <w:rFonts w:ascii="Arial" w:hAnsi="Arial" w:cs="Arial"/>
                <w:snapToGrid w:val="0"/>
                <w:sz w:val="24"/>
                <w:szCs w:val="24"/>
              </w:rPr>
              <w:t xml:space="preserve">Estates strategy – </w:t>
            </w:r>
            <w:r w:rsidRPr="00B76F59">
              <w:rPr>
                <w:rFonts w:ascii="Arial" w:hAnsi="Arial" w:cs="Arial"/>
                <w:i/>
                <w:iCs/>
                <w:snapToGrid w:val="0"/>
                <w:sz w:val="24"/>
                <w:szCs w:val="24"/>
              </w:rPr>
              <w:t>to support the new HQ</w:t>
            </w:r>
          </w:p>
        </w:tc>
        <w:tc>
          <w:tcPr>
            <w:tcW w:w="1307" w:type="dxa"/>
          </w:tcPr>
          <w:p w14:paraId="68811C89"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1.1</w:t>
            </w:r>
          </w:p>
        </w:tc>
        <w:tc>
          <w:tcPr>
            <w:tcW w:w="1307" w:type="dxa"/>
          </w:tcPr>
          <w:p w14:paraId="3C30AE0E"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1.1</w:t>
            </w:r>
          </w:p>
        </w:tc>
      </w:tr>
      <w:tr w:rsidR="000A27AF" w:rsidRPr="00B76F59" w14:paraId="0F4CC8EB" w14:textId="77777777" w:rsidTr="00BD14BB">
        <w:tc>
          <w:tcPr>
            <w:tcW w:w="5840" w:type="dxa"/>
          </w:tcPr>
          <w:p w14:paraId="28FD0304" w14:textId="77777777" w:rsidR="000A27AF" w:rsidRPr="00B76F59" w:rsidRDefault="000A27AF" w:rsidP="00BD14BB">
            <w:pPr>
              <w:pStyle w:val="NoSpacing"/>
              <w:spacing w:before="120"/>
              <w:jc w:val="both"/>
              <w:rPr>
                <w:rFonts w:ascii="Arial" w:hAnsi="Arial" w:cs="Arial"/>
                <w:i/>
                <w:iCs/>
                <w:snapToGrid w:val="0"/>
                <w:sz w:val="24"/>
                <w:szCs w:val="24"/>
              </w:rPr>
            </w:pPr>
            <w:r w:rsidRPr="00B76F59">
              <w:rPr>
                <w:rFonts w:ascii="Arial" w:hAnsi="Arial" w:cs="Arial"/>
                <w:snapToGrid w:val="0"/>
                <w:sz w:val="24"/>
                <w:szCs w:val="24"/>
              </w:rPr>
              <w:t xml:space="preserve">CC Op Pheasant – </w:t>
            </w:r>
            <w:r w:rsidRPr="00B76F59">
              <w:rPr>
                <w:rFonts w:ascii="Arial" w:hAnsi="Arial" w:cs="Arial"/>
                <w:i/>
                <w:iCs/>
                <w:snapToGrid w:val="0"/>
                <w:sz w:val="24"/>
                <w:szCs w:val="24"/>
              </w:rPr>
              <w:t>historic case reviews</w:t>
            </w:r>
          </w:p>
        </w:tc>
        <w:tc>
          <w:tcPr>
            <w:tcW w:w="1307" w:type="dxa"/>
          </w:tcPr>
          <w:p w14:paraId="0D698773"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0.5</w:t>
            </w:r>
          </w:p>
        </w:tc>
        <w:tc>
          <w:tcPr>
            <w:tcW w:w="1307" w:type="dxa"/>
          </w:tcPr>
          <w:p w14:paraId="247DF5D6"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0.5</w:t>
            </w:r>
          </w:p>
        </w:tc>
      </w:tr>
      <w:tr w:rsidR="000A27AF" w:rsidRPr="00B76F59" w14:paraId="1360F3B4" w14:textId="77777777" w:rsidTr="00BD14BB">
        <w:tc>
          <w:tcPr>
            <w:tcW w:w="5840" w:type="dxa"/>
          </w:tcPr>
          <w:p w14:paraId="0FC49F5D"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 xml:space="preserve">Delegated Budgetary – </w:t>
            </w:r>
            <w:r w:rsidRPr="00B76F59">
              <w:rPr>
                <w:rFonts w:ascii="Arial" w:hAnsi="Arial" w:cs="Arial"/>
                <w:i/>
                <w:iCs/>
                <w:snapToGrid w:val="0"/>
                <w:sz w:val="24"/>
                <w:szCs w:val="24"/>
              </w:rPr>
              <w:t>to cover unbudgeted costs</w:t>
            </w:r>
            <w:r w:rsidRPr="00B76F59">
              <w:rPr>
                <w:rFonts w:ascii="Arial" w:hAnsi="Arial" w:cs="Arial"/>
                <w:snapToGrid w:val="0"/>
                <w:sz w:val="24"/>
                <w:szCs w:val="24"/>
              </w:rPr>
              <w:t xml:space="preserve"> </w:t>
            </w:r>
          </w:p>
        </w:tc>
        <w:tc>
          <w:tcPr>
            <w:tcW w:w="1307" w:type="dxa"/>
          </w:tcPr>
          <w:p w14:paraId="05226AE9"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6.1</w:t>
            </w:r>
          </w:p>
        </w:tc>
        <w:tc>
          <w:tcPr>
            <w:tcW w:w="1307" w:type="dxa"/>
          </w:tcPr>
          <w:p w14:paraId="146C21FF"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8.3</w:t>
            </w:r>
          </w:p>
        </w:tc>
      </w:tr>
      <w:tr w:rsidR="000A27AF" w:rsidRPr="00B76F59" w14:paraId="731AFE5D" w14:textId="77777777" w:rsidTr="00BD14BB">
        <w:tc>
          <w:tcPr>
            <w:tcW w:w="5840" w:type="dxa"/>
          </w:tcPr>
          <w:p w14:paraId="0971FF7C" w14:textId="77777777" w:rsidR="000A27AF" w:rsidRPr="00B76F59" w:rsidRDefault="000A27AF" w:rsidP="00BD14BB">
            <w:pPr>
              <w:pStyle w:val="NoSpacing"/>
              <w:spacing w:before="120"/>
              <w:jc w:val="both"/>
              <w:rPr>
                <w:rFonts w:ascii="Arial" w:hAnsi="Arial" w:cs="Arial"/>
                <w:i/>
                <w:iCs/>
                <w:snapToGrid w:val="0"/>
                <w:sz w:val="24"/>
                <w:szCs w:val="24"/>
              </w:rPr>
            </w:pPr>
            <w:r w:rsidRPr="00B76F59">
              <w:rPr>
                <w:rFonts w:ascii="Arial" w:hAnsi="Arial" w:cs="Arial"/>
                <w:snapToGrid w:val="0"/>
                <w:sz w:val="24"/>
                <w:szCs w:val="24"/>
              </w:rPr>
              <w:t xml:space="preserve">Insurance – </w:t>
            </w:r>
            <w:r w:rsidRPr="00B76F59">
              <w:rPr>
                <w:rFonts w:ascii="Arial" w:hAnsi="Arial" w:cs="Arial"/>
                <w:i/>
                <w:iCs/>
                <w:snapToGrid w:val="0"/>
                <w:sz w:val="24"/>
                <w:szCs w:val="24"/>
              </w:rPr>
              <w:t>to cover excess on claims</w:t>
            </w:r>
          </w:p>
        </w:tc>
        <w:tc>
          <w:tcPr>
            <w:tcW w:w="1307" w:type="dxa"/>
          </w:tcPr>
          <w:p w14:paraId="7562E946"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2.4</w:t>
            </w:r>
          </w:p>
        </w:tc>
        <w:tc>
          <w:tcPr>
            <w:tcW w:w="1307" w:type="dxa"/>
          </w:tcPr>
          <w:p w14:paraId="6E9C093B"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2.4</w:t>
            </w:r>
          </w:p>
        </w:tc>
      </w:tr>
      <w:tr w:rsidR="000A27AF" w:rsidRPr="00B76F59" w14:paraId="2B9DFDAA" w14:textId="77777777" w:rsidTr="00BD14BB">
        <w:tc>
          <w:tcPr>
            <w:tcW w:w="5840" w:type="dxa"/>
          </w:tcPr>
          <w:p w14:paraId="6D9D1F35" w14:textId="77777777" w:rsidR="000A27AF" w:rsidRPr="00B76F59" w:rsidRDefault="000A27AF" w:rsidP="00BD14BB">
            <w:pPr>
              <w:pStyle w:val="NoSpacing"/>
              <w:spacing w:before="120"/>
              <w:jc w:val="both"/>
              <w:rPr>
                <w:rFonts w:ascii="Arial" w:hAnsi="Arial" w:cs="Arial"/>
                <w:i/>
                <w:iCs/>
                <w:snapToGrid w:val="0"/>
                <w:sz w:val="24"/>
                <w:szCs w:val="24"/>
              </w:rPr>
            </w:pPr>
            <w:r w:rsidRPr="00B76F59">
              <w:rPr>
                <w:rFonts w:ascii="Arial" w:hAnsi="Arial" w:cs="Arial"/>
                <w:snapToGrid w:val="0"/>
                <w:sz w:val="24"/>
                <w:szCs w:val="24"/>
              </w:rPr>
              <w:t xml:space="preserve">Police Pension – </w:t>
            </w:r>
            <w:r w:rsidRPr="00B76F59">
              <w:rPr>
                <w:rFonts w:ascii="Arial" w:hAnsi="Arial" w:cs="Arial"/>
                <w:i/>
                <w:iCs/>
                <w:snapToGrid w:val="0"/>
                <w:sz w:val="24"/>
                <w:szCs w:val="24"/>
              </w:rPr>
              <w:t>Ill health strain costs</w:t>
            </w:r>
          </w:p>
        </w:tc>
        <w:tc>
          <w:tcPr>
            <w:tcW w:w="1307" w:type="dxa"/>
          </w:tcPr>
          <w:p w14:paraId="3FC323F9"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0.2</w:t>
            </w:r>
          </w:p>
        </w:tc>
        <w:tc>
          <w:tcPr>
            <w:tcW w:w="1307" w:type="dxa"/>
          </w:tcPr>
          <w:p w14:paraId="3C47DAB4"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0.2</w:t>
            </w:r>
          </w:p>
        </w:tc>
      </w:tr>
      <w:tr w:rsidR="000A27AF" w:rsidRPr="00B76F59" w14:paraId="7FDC5898" w14:textId="77777777" w:rsidTr="00BD14BB">
        <w:tc>
          <w:tcPr>
            <w:tcW w:w="5840" w:type="dxa"/>
          </w:tcPr>
          <w:p w14:paraId="6719272A" w14:textId="77777777" w:rsidR="000A27AF" w:rsidRPr="00B76F59" w:rsidRDefault="000A27AF" w:rsidP="00BD14BB">
            <w:pPr>
              <w:pStyle w:val="NoSpacing"/>
              <w:spacing w:before="120"/>
              <w:jc w:val="both"/>
              <w:rPr>
                <w:rFonts w:ascii="Arial" w:hAnsi="Arial" w:cs="Arial"/>
                <w:i/>
                <w:iCs/>
                <w:snapToGrid w:val="0"/>
                <w:sz w:val="24"/>
                <w:szCs w:val="24"/>
              </w:rPr>
            </w:pPr>
            <w:r w:rsidRPr="00B76F59">
              <w:rPr>
                <w:rFonts w:ascii="Arial" w:hAnsi="Arial" w:cs="Arial"/>
                <w:snapToGrid w:val="0"/>
                <w:sz w:val="24"/>
                <w:szCs w:val="24"/>
              </w:rPr>
              <w:t xml:space="preserve">ICT reserves – </w:t>
            </w:r>
            <w:r w:rsidRPr="00B76F59">
              <w:rPr>
                <w:rFonts w:ascii="Arial" w:hAnsi="Arial" w:cs="Arial"/>
                <w:i/>
                <w:iCs/>
                <w:snapToGrid w:val="0"/>
                <w:sz w:val="24"/>
                <w:szCs w:val="24"/>
              </w:rPr>
              <w:t>for major projects</w:t>
            </w:r>
          </w:p>
        </w:tc>
        <w:tc>
          <w:tcPr>
            <w:tcW w:w="1307" w:type="dxa"/>
          </w:tcPr>
          <w:p w14:paraId="4B00703E"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0.7</w:t>
            </w:r>
          </w:p>
        </w:tc>
        <w:tc>
          <w:tcPr>
            <w:tcW w:w="1307" w:type="dxa"/>
          </w:tcPr>
          <w:p w14:paraId="6ADEC945"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0.0</w:t>
            </w:r>
          </w:p>
        </w:tc>
      </w:tr>
      <w:tr w:rsidR="000A27AF" w:rsidRPr="00B76F59" w14:paraId="7F913764" w14:textId="77777777" w:rsidTr="00BD14BB">
        <w:tc>
          <w:tcPr>
            <w:tcW w:w="5840" w:type="dxa"/>
          </w:tcPr>
          <w:p w14:paraId="433FBB3A" w14:textId="77777777" w:rsidR="000A27AF" w:rsidRPr="00B76F59" w:rsidRDefault="000A27AF" w:rsidP="00BD14BB">
            <w:pPr>
              <w:pStyle w:val="NoSpacing"/>
              <w:spacing w:before="120"/>
              <w:jc w:val="both"/>
              <w:rPr>
                <w:rFonts w:ascii="Arial" w:hAnsi="Arial" w:cs="Arial"/>
                <w:i/>
                <w:iCs/>
                <w:snapToGrid w:val="0"/>
                <w:sz w:val="24"/>
                <w:szCs w:val="24"/>
              </w:rPr>
            </w:pPr>
            <w:r w:rsidRPr="00B76F59">
              <w:rPr>
                <w:rFonts w:ascii="Arial" w:hAnsi="Arial" w:cs="Arial"/>
                <w:snapToGrid w:val="0"/>
                <w:sz w:val="24"/>
                <w:szCs w:val="24"/>
              </w:rPr>
              <w:t xml:space="preserve">Capital receipts – </w:t>
            </w:r>
            <w:r w:rsidRPr="00B76F59">
              <w:rPr>
                <w:rFonts w:ascii="Arial" w:hAnsi="Arial" w:cs="Arial"/>
                <w:i/>
                <w:iCs/>
                <w:snapToGrid w:val="0"/>
                <w:sz w:val="24"/>
                <w:szCs w:val="24"/>
              </w:rPr>
              <w:t>Asset sales</w:t>
            </w:r>
          </w:p>
        </w:tc>
        <w:tc>
          <w:tcPr>
            <w:tcW w:w="1307" w:type="dxa"/>
          </w:tcPr>
          <w:p w14:paraId="7EFE6B38"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1.7</w:t>
            </w:r>
          </w:p>
        </w:tc>
        <w:tc>
          <w:tcPr>
            <w:tcW w:w="1307" w:type="dxa"/>
          </w:tcPr>
          <w:p w14:paraId="01644AAB" w14:textId="77777777" w:rsidR="000A27AF" w:rsidRPr="00B76F59" w:rsidRDefault="000A27AF" w:rsidP="00BD14BB">
            <w:pPr>
              <w:pStyle w:val="NoSpacing"/>
              <w:spacing w:before="120"/>
              <w:jc w:val="both"/>
              <w:rPr>
                <w:rFonts w:ascii="Arial" w:hAnsi="Arial" w:cs="Arial"/>
                <w:snapToGrid w:val="0"/>
                <w:sz w:val="24"/>
                <w:szCs w:val="24"/>
              </w:rPr>
            </w:pPr>
            <w:r w:rsidRPr="00B76F59">
              <w:rPr>
                <w:rFonts w:ascii="Arial" w:hAnsi="Arial" w:cs="Arial"/>
                <w:snapToGrid w:val="0"/>
                <w:sz w:val="24"/>
                <w:szCs w:val="24"/>
              </w:rPr>
              <w:t>1.7</w:t>
            </w:r>
          </w:p>
        </w:tc>
      </w:tr>
      <w:tr w:rsidR="000A27AF" w:rsidRPr="00B76F59" w14:paraId="7F818F1F" w14:textId="77777777" w:rsidTr="00BD14BB">
        <w:tc>
          <w:tcPr>
            <w:tcW w:w="5840" w:type="dxa"/>
          </w:tcPr>
          <w:p w14:paraId="0106FD28" w14:textId="77777777" w:rsidR="000A27AF" w:rsidRPr="00B76F59" w:rsidRDefault="000A27AF" w:rsidP="00BD14BB">
            <w:pPr>
              <w:pStyle w:val="NoSpacing"/>
              <w:spacing w:before="120"/>
              <w:jc w:val="both"/>
              <w:rPr>
                <w:rFonts w:ascii="Arial" w:hAnsi="Arial" w:cs="Arial"/>
                <w:b/>
                <w:bCs/>
                <w:snapToGrid w:val="0"/>
                <w:sz w:val="24"/>
                <w:szCs w:val="24"/>
              </w:rPr>
            </w:pPr>
            <w:r w:rsidRPr="00B76F59">
              <w:rPr>
                <w:rFonts w:ascii="Arial" w:hAnsi="Arial" w:cs="Arial"/>
                <w:b/>
                <w:bCs/>
                <w:snapToGrid w:val="0"/>
                <w:sz w:val="24"/>
                <w:szCs w:val="24"/>
              </w:rPr>
              <w:t>Total Earmarked Reserves</w:t>
            </w:r>
          </w:p>
        </w:tc>
        <w:tc>
          <w:tcPr>
            <w:tcW w:w="1307" w:type="dxa"/>
          </w:tcPr>
          <w:p w14:paraId="042A8FEC" w14:textId="77777777" w:rsidR="000A27AF" w:rsidRPr="00B76F59" w:rsidRDefault="000A27AF" w:rsidP="00BD14BB">
            <w:pPr>
              <w:pStyle w:val="NoSpacing"/>
              <w:spacing w:before="120"/>
              <w:jc w:val="both"/>
              <w:rPr>
                <w:rFonts w:ascii="Arial" w:hAnsi="Arial" w:cs="Arial"/>
                <w:b/>
                <w:bCs/>
                <w:snapToGrid w:val="0"/>
                <w:sz w:val="24"/>
                <w:szCs w:val="24"/>
              </w:rPr>
            </w:pPr>
            <w:r w:rsidRPr="00B76F59">
              <w:rPr>
                <w:rFonts w:ascii="Arial" w:hAnsi="Arial" w:cs="Arial"/>
                <w:b/>
                <w:bCs/>
                <w:snapToGrid w:val="0"/>
                <w:sz w:val="24"/>
                <w:szCs w:val="24"/>
              </w:rPr>
              <w:t>26.9</w:t>
            </w:r>
          </w:p>
        </w:tc>
        <w:tc>
          <w:tcPr>
            <w:tcW w:w="1307" w:type="dxa"/>
          </w:tcPr>
          <w:p w14:paraId="6FE0008A" w14:textId="77777777" w:rsidR="000A27AF" w:rsidRPr="00B76F59" w:rsidRDefault="000A27AF" w:rsidP="00BD14BB">
            <w:pPr>
              <w:pStyle w:val="NoSpacing"/>
              <w:spacing w:before="120"/>
              <w:jc w:val="both"/>
              <w:rPr>
                <w:rFonts w:ascii="Arial" w:hAnsi="Arial" w:cs="Arial"/>
                <w:b/>
                <w:bCs/>
                <w:snapToGrid w:val="0"/>
                <w:sz w:val="24"/>
                <w:szCs w:val="24"/>
              </w:rPr>
            </w:pPr>
            <w:r w:rsidRPr="00B76F59">
              <w:rPr>
                <w:rFonts w:ascii="Arial" w:hAnsi="Arial" w:cs="Arial"/>
                <w:b/>
                <w:bCs/>
                <w:snapToGrid w:val="0"/>
                <w:sz w:val="24"/>
                <w:szCs w:val="24"/>
              </w:rPr>
              <w:t>22.4</w:t>
            </w:r>
          </w:p>
        </w:tc>
      </w:tr>
      <w:tr w:rsidR="000A27AF" w:rsidRPr="00B76F59" w14:paraId="6D9A5D6B" w14:textId="77777777" w:rsidTr="00BD14BB">
        <w:tc>
          <w:tcPr>
            <w:tcW w:w="5840" w:type="dxa"/>
          </w:tcPr>
          <w:p w14:paraId="285C82E3" w14:textId="77777777" w:rsidR="000A27AF" w:rsidRPr="00B76F59" w:rsidRDefault="000A27AF" w:rsidP="00BD14BB">
            <w:pPr>
              <w:pStyle w:val="NoSpacing"/>
              <w:spacing w:before="120"/>
              <w:jc w:val="both"/>
              <w:rPr>
                <w:rFonts w:ascii="Arial" w:hAnsi="Arial" w:cs="Arial"/>
                <w:b/>
                <w:bCs/>
                <w:snapToGrid w:val="0"/>
                <w:sz w:val="24"/>
                <w:szCs w:val="24"/>
              </w:rPr>
            </w:pPr>
            <w:r w:rsidRPr="00B76F59">
              <w:rPr>
                <w:rFonts w:ascii="Arial" w:hAnsi="Arial" w:cs="Arial"/>
                <w:b/>
                <w:bCs/>
                <w:snapToGrid w:val="0"/>
                <w:sz w:val="24"/>
                <w:szCs w:val="24"/>
              </w:rPr>
              <w:t>Total Reserves</w:t>
            </w:r>
          </w:p>
        </w:tc>
        <w:tc>
          <w:tcPr>
            <w:tcW w:w="1307" w:type="dxa"/>
          </w:tcPr>
          <w:p w14:paraId="0016043A" w14:textId="77777777" w:rsidR="000A27AF" w:rsidRPr="00B76F59" w:rsidRDefault="000A27AF" w:rsidP="00BD14BB">
            <w:pPr>
              <w:pStyle w:val="NoSpacing"/>
              <w:spacing w:before="120"/>
              <w:jc w:val="both"/>
              <w:rPr>
                <w:rFonts w:ascii="Arial" w:hAnsi="Arial" w:cs="Arial"/>
                <w:b/>
                <w:bCs/>
                <w:snapToGrid w:val="0"/>
                <w:sz w:val="24"/>
                <w:szCs w:val="24"/>
              </w:rPr>
            </w:pPr>
            <w:r w:rsidRPr="00B76F59">
              <w:rPr>
                <w:rFonts w:ascii="Arial" w:hAnsi="Arial" w:cs="Arial"/>
                <w:b/>
                <w:bCs/>
                <w:snapToGrid w:val="0"/>
                <w:sz w:val="24"/>
                <w:szCs w:val="24"/>
              </w:rPr>
              <w:t>37.7</w:t>
            </w:r>
          </w:p>
        </w:tc>
        <w:tc>
          <w:tcPr>
            <w:tcW w:w="1307" w:type="dxa"/>
          </w:tcPr>
          <w:p w14:paraId="67ACDCAA" w14:textId="77777777" w:rsidR="000A27AF" w:rsidRPr="00B76F59" w:rsidRDefault="000A27AF" w:rsidP="00BD14BB">
            <w:pPr>
              <w:pStyle w:val="NoSpacing"/>
              <w:spacing w:before="120"/>
              <w:jc w:val="both"/>
              <w:rPr>
                <w:rFonts w:ascii="Arial" w:hAnsi="Arial" w:cs="Arial"/>
                <w:b/>
                <w:bCs/>
                <w:snapToGrid w:val="0"/>
                <w:sz w:val="24"/>
                <w:szCs w:val="24"/>
              </w:rPr>
            </w:pPr>
            <w:r w:rsidRPr="00B76F59">
              <w:rPr>
                <w:rFonts w:ascii="Arial" w:hAnsi="Arial" w:cs="Arial"/>
                <w:b/>
                <w:bCs/>
                <w:snapToGrid w:val="0"/>
                <w:sz w:val="24"/>
                <w:szCs w:val="24"/>
              </w:rPr>
              <w:t>33.2</w:t>
            </w:r>
          </w:p>
        </w:tc>
      </w:tr>
      <w:tr w:rsidR="000A27AF" w:rsidRPr="00B76F59" w14:paraId="45557727" w14:textId="77777777" w:rsidTr="00BD14BB">
        <w:tc>
          <w:tcPr>
            <w:tcW w:w="5840" w:type="dxa"/>
          </w:tcPr>
          <w:p w14:paraId="55FEBC6B" w14:textId="77777777" w:rsidR="000A27AF" w:rsidRPr="00B76F59" w:rsidRDefault="000A27AF" w:rsidP="00BD14BB">
            <w:pPr>
              <w:pStyle w:val="NoSpacing"/>
              <w:spacing w:before="120"/>
              <w:jc w:val="both"/>
              <w:rPr>
                <w:rFonts w:ascii="Arial" w:hAnsi="Arial" w:cs="Arial"/>
                <w:b/>
                <w:bCs/>
                <w:snapToGrid w:val="0"/>
                <w:sz w:val="24"/>
                <w:szCs w:val="24"/>
              </w:rPr>
            </w:pPr>
            <w:r w:rsidRPr="00B76F59">
              <w:rPr>
                <w:rFonts w:ascii="Arial" w:hAnsi="Arial" w:cs="Arial"/>
                <w:b/>
                <w:bCs/>
                <w:snapToGrid w:val="0"/>
                <w:sz w:val="24"/>
                <w:szCs w:val="24"/>
              </w:rPr>
              <w:t>%age General Reserves to 2025/26 Budget</w:t>
            </w:r>
          </w:p>
        </w:tc>
        <w:tc>
          <w:tcPr>
            <w:tcW w:w="1307" w:type="dxa"/>
          </w:tcPr>
          <w:p w14:paraId="288F3A1A" w14:textId="77777777" w:rsidR="000A27AF" w:rsidRPr="00B76F59" w:rsidRDefault="000A27AF" w:rsidP="00BD14BB">
            <w:pPr>
              <w:pStyle w:val="NoSpacing"/>
              <w:spacing w:before="120"/>
              <w:jc w:val="both"/>
              <w:rPr>
                <w:rFonts w:ascii="Arial" w:hAnsi="Arial" w:cs="Arial"/>
                <w:b/>
                <w:bCs/>
                <w:snapToGrid w:val="0"/>
                <w:sz w:val="24"/>
                <w:szCs w:val="24"/>
              </w:rPr>
            </w:pPr>
            <w:r w:rsidRPr="00B76F59">
              <w:rPr>
                <w:rFonts w:ascii="Arial" w:hAnsi="Arial" w:cs="Arial"/>
                <w:b/>
                <w:bCs/>
                <w:snapToGrid w:val="0"/>
                <w:sz w:val="24"/>
                <w:szCs w:val="24"/>
              </w:rPr>
              <w:t>3.2</w:t>
            </w:r>
          </w:p>
        </w:tc>
        <w:tc>
          <w:tcPr>
            <w:tcW w:w="1307" w:type="dxa"/>
          </w:tcPr>
          <w:p w14:paraId="19B4BA22" w14:textId="77777777" w:rsidR="000A27AF" w:rsidRPr="00B76F59" w:rsidRDefault="000A27AF" w:rsidP="00BD14BB">
            <w:pPr>
              <w:pStyle w:val="NoSpacing"/>
              <w:spacing w:before="120"/>
              <w:jc w:val="both"/>
              <w:rPr>
                <w:rFonts w:ascii="Arial" w:hAnsi="Arial" w:cs="Arial"/>
                <w:b/>
                <w:bCs/>
                <w:snapToGrid w:val="0"/>
                <w:sz w:val="24"/>
                <w:szCs w:val="24"/>
              </w:rPr>
            </w:pPr>
            <w:r w:rsidRPr="00B76F59">
              <w:rPr>
                <w:rFonts w:ascii="Arial" w:hAnsi="Arial" w:cs="Arial"/>
                <w:b/>
                <w:bCs/>
                <w:snapToGrid w:val="0"/>
                <w:sz w:val="24"/>
                <w:szCs w:val="24"/>
              </w:rPr>
              <w:t>3.2</w:t>
            </w:r>
          </w:p>
        </w:tc>
      </w:tr>
      <w:tr w:rsidR="000A27AF" w:rsidRPr="00B76F59" w14:paraId="58A56F5E" w14:textId="77777777" w:rsidTr="00BD14BB">
        <w:tc>
          <w:tcPr>
            <w:tcW w:w="5840" w:type="dxa"/>
          </w:tcPr>
          <w:p w14:paraId="7AC8F3F9" w14:textId="77777777" w:rsidR="000A27AF" w:rsidRPr="00B76F59" w:rsidRDefault="000A27AF" w:rsidP="00BD14BB">
            <w:pPr>
              <w:pStyle w:val="NoSpacing"/>
              <w:spacing w:before="120"/>
              <w:jc w:val="both"/>
              <w:rPr>
                <w:rFonts w:ascii="Arial" w:hAnsi="Arial" w:cs="Arial"/>
                <w:b/>
                <w:bCs/>
                <w:snapToGrid w:val="0"/>
                <w:sz w:val="24"/>
                <w:szCs w:val="24"/>
              </w:rPr>
            </w:pPr>
            <w:r w:rsidRPr="00B76F59">
              <w:rPr>
                <w:rFonts w:ascii="Arial" w:hAnsi="Arial" w:cs="Arial"/>
                <w:b/>
                <w:bCs/>
                <w:snapToGrid w:val="0"/>
                <w:sz w:val="24"/>
                <w:szCs w:val="24"/>
              </w:rPr>
              <w:t>%age Total Reserves to 2025/26 Budget</w:t>
            </w:r>
          </w:p>
        </w:tc>
        <w:tc>
          <w:tcPr>
            <w:tcW w:w="1307" w:type="dxa"/>
          </w:tcPr>
          <w:p w14:paraId="0A448B60" w14:textId="77777777" w:rsidR="000A27AF" w:rsidRPr="00B76F59" w:rsidRDefault="000A27AF" w:rsidP="00BD14BB">
            <w:pPr>
              <w:pStyle w:val="NoSpacing"/>
              <w:spacing w:before="120"/>
              <w:jc w:val="both"/>
              <w:rPr>
                <w:rFonts w:ascii="Arial" w:hAnsi="Arial" w:cs="Arial"/>
                <w:b/>
                <w:bCs/>
                <w:snapToGrid w:val="0"/>
                <w:sz w:val="24"/>
                <w:szCs w:val="24"/>
              </w:rPr>
            </w:pPr>
            <w:r w:rsidRPr="00B76F59">
              <w:rPr>
                <w:rFonts w:ascii="Arial" w:hAnsi="Arial" w:cs="Arial"/>
                <w:b/>
                <w:bCs/>
                <w:snapToGrid w:val="0"/>
                <w:sz w:val="24"/>
                <w:szCs w:val="24"/>
              </w:rPr>
              <w:t>11.4</w:t>
            </w:r>
          </w:p>
        </w:tc>
        <w:tc>
          <w:tcPr>
            <w:tcW w:w="1307" w:type="dxa"/>
          </w:tcPr>
          <w:p w14:paraId="02A3955B" w14:textId="77777777" w:rsidR="000A27AF" w:rsidRPr="00B76F59" w:rsidRDefault="000A27AF" w:rsidP="00BD14BB">
            <w:pPr>
              <w:pStyle w:val="NoSpacing"/>
              <w:spacing w:before="120"/>
              <w:jc w:val="both"/>
              <w:rPr>
                <w:rFonts w:ascii="Arial" w:hAnsi="Arial" w:cs="Arial"/>
                <w:b/>
                <w:bCs/>
                <w:snapToGrid w:val="0"/>
                <w:sz w:val="24"/>
                <w:szCs w:val="24"/>
              </w:rPr>
            </w:pPr>
            <w:r w:rsidRPr="00B76F59">
              <w:rPr>
                <w:rFonts w:ascii="Arial" w:hAnsi="Arial" w:cs="Arial"/>
                <w:b/>
                <w:bCs/>
                <w:snapToGrid w:val="0"/>
                <w:sz w:val="24"/>
                <w:szCs w:val="24"/>
              </w:rPr>
              <w:t>10.1</w:t>
            </w:r>
          </w:p>
        </w:tc>
      </w:tr>
    </w:tbl>
    <w:p w14:paraId="5DAE428A" w14:textId="77777777" w:rsidR="000A27AF" w:rsidRPr="0050145D" w:rsidRDefault="000A27AF" w:rsidP="000A27AF">
      <w:pPr>
        <w:jc w:val="both"/>
        <w:rPr>
          <w:rFonts w:ascii="Arial" w:hAnsi="Arial" w:cs="Arial"/>
          <w:color w:val="000000"/>
          <w:sz w:val="24"/>
          <w:szCs w:val="24"/>
          <w:highlight w:val="yellow"/>
        </w:rPr>
      </w:pPr>
    </w:p>
    <w:p w14:paraId="013B8D5D" w14:textId="77777777" w:rsidR="000A27AF" w:rsidRPr="00BA5CC9" w:rsidRDefault="000A27AF" w:rsidP="000A27AF">
      <w:pPr>
        <w:pStyle w:val="ListParagraph"/>
        <w:ind w:left="0"/>
        <w:jc w:val="both"/>
        <w:rPr>
          <w:rFonts w:ascii="Arial" w:hAnsi="Arial" w:cs="Arial"/>
          <w:b/>
          <w:color w:val="000000"/>
          <w:sz w:val="24"/>
          <w:szCs w:val="24"/>
        </w:rPr>
      </w:pPr>
      <w:r w:rsidRPr="00BA5CC9">
        <w:rPr>
          <w:rFonts w:ascii="Arial" w:hAnsi="Arial" w:cs="Arial"/>
          <w:b/>
          <w:color w:val="000000"/>
          <w:sz w:val="24"/>
          <w:szCs w:val="24"/>
        </w:rPr>
        <w:t xml:space="preserve">Adequacy of Reserves and Robustness of Budget Estimates </w:t>
      </w:r>
    </w:p>
    <w:p w14:paraId="64AAEB78" w14:textId="77777777" w:rsidR="000A27AF" w:rsidRPr="00BA5CC9" w:rsidRDefault="000A27AF" w:rsidP="000A27AF">
      <w:pPr>
        <w:pStyle w:val="ListParagraph"/>
        <w:ind w:left="360"/>
        <w:jc w:val="both"/>
        <w:rPr>
          <w:rFonts w:ascii="Arial" w:hAnsi="Arial" w:cs="Arial"/>
          <w:color w:val="000000"/>
          <w:sz w:val="24"/>
          <w:szCs w:val="24"/>
        </w:rPr>
      </w:pPr>
    </w:p>
    <w:p w14:paraId="0C184DC3" w14:textId="77777777" w:rsidR="000A27AF" w:rsidRPr="00BA5CC9"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BA5CC9">
        <w:rPr>
          <w:rFonts w:ascii="Arial" w:hAnsi="Arial" w:cs="Arial"/>
          <w:color w:val="000000"/>
          <w:sz w:val="24"/>
          <w:szCs w:val="24"/>
        </w:rPr>
        <w:t xml:space="preserve">The Local Government Act 2003 requires the Chief Finance Officer (CFO) to undertake an assessment of the robustness of the annual budget and the </w:t>
      </w:r>
      <w:r w:rsidRPr="00BA5CC9">
        <w:rPr>
          <w:rFonts w:ascii="Arial" w:hAnsi="Arial" w:cs="Arial"/>
          <w:color w:val="000000"/>
          <w:sz w:val="24"/>
          <w:szCs w:val="24"/>
        </w:rPr>
        <w:lastRenderedPageBreak/>
        <w:t>adequacy of reserves. That assessment and a statement is to be included in the key decision annual budget and precept report 2025/26.</w:t>
      </w:r>
    </w:p>
    <w:p w14:paraId="1B6BF7C0" w14:textId="77777777" w:rsidR="000A27AF" w:rsidRPr="00BA5CC9" w:rsidRDefault="000A27AF" w:rsidP="000A27AF">
      <w:pPr>
        <w:pStyle w:val="ListParagraph"/>
        <w:ind w:left="360"/>
        <w:jc w:val="both"/>
        <w:rPr>
          <w:rFonts w:ascii="Arial" w:hAnsi="Arial" w:cs="Arial"/>
          <w:color w:val="000000"/>
          <w:sz w:val="24"/>
          <w:szCs w:val="24"/>
        </w:rPr>
      </w:pPr>
    </w:p>
    <w:p w14:paraId="180C4649" w14:textId="77777777" w:rsidR="000A27AF" w:rsidRPr="00BA5CC9"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BA5CC9">
        <w:rPr>
          <w:rFonts w:ascii="Arial" w:hAnsi="Arial" w:cs="Arial"/>
          <w:color w:val="000000"/>
          <w:sz w:val="24"/>
          <w:szCs w:val="24"/>
        </w:rPr>
        <w:t xml:space="preserve">The CFO has applied the same principles used to undertake the assessment of the 2025/26 budget to the following three years of the MTFS. In assessing the robustness of the budgets and forecasts, the CFO has considered the following issues: </w:t>
      </w:r>
    </w:p>
    <w:p w14:paraId="29F12794" w14:textId="77777777" w:rsidR="000A27AF" w:rsidRPr="00BA5CC9" w:rsidRDefault="000A27AF" w:rsidP="000A27AF">
      <w:pPr>
        <w:pStyle w:val="ListParagraph"/>
        <w:ind w:left="360"/>
        <w:jc w:val="both"/>
        <w:rPr>
          <w:rFonts w:ascii="Arial" w:hAnsi="Arial" w:cs="Arial"/>
          <w:color w:val="000000"/>
          <w:sz w:val="24"/>
          <w:szCs w:val="24"/>
        </w:rPr>
      </w:pPr>
    </w:p>
    <w:p w14:paraId="23881011" w14:textId="77777777" w:rsidR="000A27AF" w:rsidRPr="00BA5CC9" w:rsidRDefault="000A27AF" w:rsidP="000A27AF">
      <w:pPr>
        <w:pStyle w:val="ListParagraph"/>
        <w:numPr>
          <w:ilvl w:val="0"/>
          <w:numId w:val="9"/>
        </w:numPr>
        <w:jc w:val="both"/>
        <w:rPr>
          <w:rFonts w:ascii="Arial" w:hAnsi="Arial" w:cs="Arial"/>
          <w:color w:val="000000"/>
          <w:sz w:val="24"/>
          <w:szCs w:val="24"/>
        </w:rPr>
      </w:pPr>
      <w:r w:rsidRPr="00BA5CC9">
        <w:rPr>
          <w:rFonts w:ascii="Arial" w:hAnsi="Arial" w:cs="Arial"/>
          <w:color w:val="000000"/>
          <w:sz w:val="24"/>
          <w:szCs w:val="24"/>
        </w:rPr>
        <w:t xml:space="preserve">The general financial standing of the PCC. </w:t>
      </w:r>
    </w:p>
    <w:p w14:paraId="35DD119A" w14:textId="77777777" w:rsidR="000A27AF" w:rsidRPr="00BA5CC9" w:rsidRDefault="000A27AF" w:rsidP="000A27AF">
      <w:pPr>
        <w:pStyle w:val="ListParagraph"/>
        <w:numPr>
          <w:ilvl w:val="0"/>
          <w:numId w:val="9"/>
        </w:numPr>
        <w:jc w:val="both"/>
        <w:rPr>
          <w:rFonts w:ascii="Arial" w:hAnsi="Arial" w:cs="Arial"/>
          <w:color w:val="000000"/>
          <w:sz w:val="24"/>
          <w:szCs w:val="24"/>
        </w:rPr>
      </w:pPr>
      <w:r w:rsidRPr="00BA5CC9">
        <w:rPr>
          <w:rFonts w:ascii="Arial" w:hAnsi="Arial" w:cs="Arial"/>
          <w:color w:val="000000"/>
          <w:sz w:val="24"/>
          <w:szCs w:val="24"/>
        </w:rPr>
        <w:t xml:space="preserve">The underlying budget assumptions, including an assessment of the major estimates including pay and price increases. </w:t>
      </w:r>
    </w:p>
    <w:p w14:paraId="7CF907F9" w14:textId="77777777" w:rsidR="000A27AF" w:rsidRPr="00BA5CC9" w:rsidRDefault="000A27AF" w:rsidP="000A27AF">
      <w:pPr>
        <w:pStyle w:val="ListParagraph"/>
        <w:numPr>
          <w:ilvl w:val="0"/>
          <w:numId w:val="9"/>
        </w:numPr>
        <w:jc w:val="both"/>
        <w:rPr>
          <w:rFonts w:ascii="Arial" w:hAnsi="Arial" w:cs="Arial"/>
          <w:color w:val="000000"/>
          <w:sz w:val="24"/>
          <w:szCs w:val="24"/>
        </w:rPr>
      </w:pPr>
      <w:r w:rsidRPr="00BA5CC9">
        <w:rPr>
          <w:rFonts w:ascii="Arial" w:hAnsi="Arial" w:cs="Arial"/>
          <w:color w:val="000000"/>
          <w:sz w:val="24"/>
          <w:szCs w:val="24"/>
        </w:rPr>
        <w:t xml:space="preserve">The future budget pressures identified including changes to pension scheme contributions. </w:t>
      </w:r>
    </w:p>
    <w:p w14:paraId="78B3E326" w14:textId="77777777" w:rsidR="000A27AF" w:rsidRPr="00BA5CC9" w:rsidRDefault="000A27AF" w:rsidP="000A27AF">
      <w:pPr>
        <w:pStyle w:val="ListParagraph"/>
        <w:numPr>
          <w:ilvl w:val="0"/>
          <w:numId w:val="9"/>
        </w:numPr>
        <w:jc w:val="both"/>
        <w:rPr>
          <w:rFonts w:ascii="Arial" w:hAnsi="Arial" w:cs="Arial"/>
          <w:color w:val="000000"/>
          <w:sz w:val="24"/>
          <w:szCs w:val="24"/>
        </w:rPr>
      </w:pPr>
      <w:r w:rsidRPr="00BA5CC9">
        <w:rPr>
          <w:rFonts w:ascii="Arial" w:hAnsi="Arial" w:cs="Arial"/>
          <w:color w:val="000000"/>
          <w:sz w:val="24"/>
          <w:szCs w:val="24"/>
        </w:rPr>
        <w:t xml:space="preserve">A risk assessment of expenditure and income estimates including adequacy of budget monitoring and financial reporting arrangements </w:t>
      </w:r>
    </w:p>
    <w:p w14:paraId="281E2736" w14:textId="77777777" w:rsidR="000A27AF" w:rsidRPr="00BA5CC9" w:rsidRDefault="000A27AF" w:rsidP="000A27AF">
      <w:pPr>
        <w:pStyle w:val="ListParagraph"/>
        <w:numPr>
          <w:ilvl w:val="0"/>
          <w:numId w:val="9"/>
        </w:numPr>
        <w:jc w:val="both"/>
        <w:rPr>
          <w:rFonts w:ascii="Arial" w:hAnsi="Arial" w:cs="Arial"/>
          <w:color w:val="000000"/>
          <w:sz w:val="24"/>
          <w:szCs w:val="24"/>
        </w:rPr>
      </w:pPr>
      <w:r w:rsidRPr="00BA5CC9">
        <w:rPr>
          <w:rFonts w:ascii="Arial" w:hAnsi="Arial" w:cs="Arial"/>
          <w:color w:val="000000"/>
          <w:sz w:val="24"/>
          <w:szCs w:val="24"/>
        </w:rPr>
        <w:t xml:space="preserve">The impact of the police grant settlement and of subsequent anticipated </w:t>
      </w:r>
    </w:p>
    <w:p w14:paraId="27D30694" w14:textId="77777777" w:rsidR="000A27AF" w:rsidRPr="00BA5CC9" w:rsidRDefault="000A27AF" w:rsidP="000A27AF">
      <w:pPr>
        <w:pStyle w:val="ListParagraph"/>
        <w:jc w:val="both"/>
        <w:rPr>
          <w:rFonts w:ascii="Arial" w:hAnsi="Arial" w:cs="Arial"/>
          <w:color w:val="000000"/>
          <w:sz w:val="24"/>
          <w:szCs w:val="24"/>
        </w:rPr>
      </w:pPr>
      <w:r w:rsidRPr="00BA5CC9">
        <w:rPr>
          <w:rFonts w:ascii="Arial" w:hAnsi="Arial" w:cs="Arial"/>
          <w:color w:val="000000"/>
          <w:sz w:val="24"/>
          <w:szCs w:val="24"/>
        </w:rPr>
        <w:t xml:space="preserve">future settlements including any change to the grant allocation method. </w:t>
      </w:r>
    </w:p>
    <w:p w14:paraId="65B02BF0" w14:textId="77777777" w:rsidR="000A27AF" w:rsidRPr="00BA5CC9" w:rsidRDefault="000A27AF" w:rsidP="000A27AF">
      <w:pPr>
        <w:pStyle w:val="ListParagraph"/>
        <w:numPr>
          <w:ilvl w:val="0"/>
          <w:numId w:val="9"/>
        </w:numPr>
        <w:jc w:val="both"/>
        <w:rPr>
          <w:rFonts w:ascii="Arial" w:hAnsi="Arial" w:cs="Arial"/>
          <w:color w:val="000000"/>
          <w:sz w:val="24"/>
          <w:szCs w:val="24"/>
        </w:rPr>
      </w:pPr>
      <w:r w:rsidRPr="00BA5CC9">
        <w:rPr>
          <w:rFonts w:ascii="Arial" w:hAnsi="Arial" w:cs="Arial"/>
          <w:color w:val="000000"/>
          <w:sz w:val="24"/>
          <w:szCs w:val="24"/>
        </w:rPr>
        <w:t xml:space="preserve">The precept and planned increases. </w:t>
      </w:r>
    </w:p>
    <w:p w14:paraId="32927DAA" w14:textId="77777777" w:rsidR="000A27AF" w:rsidRPr="00BA5CC9" w:rsidRDefault="000A27AF" w:rsidP="000A27AF">
      <w:pPr>
        <w:pStyle w:val="ListParagraph"/>
        <w:numPr>
          <w:ilvl w:val="0"/>
          <w:numId w:val="9"/>
        </w:numPr>
        <w:jc w:val="both"/>
        <w:rPr>
          <w:rFonts w:ascii="Arial" w:hAnsi="Arial" w:cs="Arial"/>
          <w:color w:val="000000"/>
          <w:sz w:val="24"/>
          <w:szCs w:val="24"/>
        </w:rPr>
      </w:pPr>
      <w:r w:rsidRPr="00BA5CC9">
        <w:rPr>
          <w:rFonts w:ascii="Arial" w:hAnsi="Arial" w:cs="Arial"/>
          <w:color w:val="000000"/>
          <w:sz w:val="24"/>
          <w:szCs w:val="24"/>
        </w:rPr>
        <w:t xml:space="preserve">The adequacy of the budget monitoring and financial reporting arrangements. </w:t>
      </w:r>
    </w:p>
    <w:p w14:paraId="38EBB6AE" w14:textId="77777777" w:rsidR="000A27AF" w:rsidRPr="00BA5CC9" w:rsidRDefault="000A27AF" w:rsidP="000A27AF">
      <w:pPr>
        <w:pStyle w:val="ListParagraph"/>
        <w:numPr>
          <w:ilvl w:val="0"/>
          <w:numId w:val="9"/>
        </w:numPr>
        <w:jc w:val="both"/>
        <w:rPr>
          <w:rFonts w:ascii="Arial" w:hAnsi="Arial" w:cs="Arial"/>
          <w:color w:val="000000"/>
          <w:sz w:val="24"/>
          <w:szCs w:val="24"/>
        </w:rPr>
      </w:pPr>
      <w:r w:rsidRPr="00BA5CC9">
        <w:rPr>
          <w:rFonts w:ascii="Arial" w:hAnsi="Arial" w:cs="Arial"/>
          <w:color w:val="000000"/>
          <w:sz w:val="24"/>
          <w:szCs w:val="24"/>
        </w:rPr>
        <w:t xml:space="preserve">The adequacy of the PCC’s governance arrangements and internal control </w:t>
      </w:r>
    </w:p>
    <w:p w14:paraId="45CBF578" w14:textId="77777777" w:rsidR="000A27AF" w:rsidRPr="00BA5CC9" w:rsidRDefault="000A27AF" w:rsidP="000A27AF">
      <w:pPr>
        <w:pStyle w:val="ListParagraph"/>
        <w:jc w:val="both"/>
        <w:rPr>
          <w:rFonts w:ascii="Arial" w:hAnsi="Arial" w:cs="Arial"/>
          <w:color w:val="000000"/>
          <w:sz w:val="24"/>
          <w:szCs w:val="24"/>
        </w:rPr>
      </w:pPr>
      <w:r w:rsidRPr="00BA5CC9">
        <w:rPr>
          <w:rFonts w:ascii="Arial" w:hAnsi="Arial" w:cs="Arial"/>
          <w:color w:val="000000"/>
          <w:sz w:val="24"/>
          <w:szCs w:val="24"/>
        </w:rPr>
        <w:t xml:space="preserve">system including the risk management system. </w:t>
      </w:r>
    </w:p>
    <w:p w14:paraId="3C94E8A4" w14:textId="77777777" w:rsidR="000A27AF" w:rsidRPr="00BA5CC9" w:rsidRDefault="000A27AF" w:rsidP="000A27AF">
      <w:pPr>
        <w:pStyle w:val="ListParagraph"/>
        <w:numPr>
          <w:ilvl w:val="0"/>
          <w:numId w:val="9"/>
        </w:numPr>
        <w:jc w:val="both"/>
        <w:rPr>
          <w:rFonts w:ascii="Arial" w:hAnsi="Arial" w:cs="Arial"/>
          <w:color w:val="000000"/>
          <w:sz w:val="24"/>
          <w:szCs w:val="24"/>
        </w:rPr>
      </w:pPr>
      <w:r w:rsidRPr="00BA5CC9">
        <w:rPr>
          <w:rFonts w:ascii="Arial" w:hAnsi="Arial" w:cs="Arial"/>
          <w:color w:val="000000"/>
          <w:sz w:val="24"/>
          <w:szCs w:val="24"/>
        </w:rPr>
        <w:t xml:space="preserve">The adequacy of general reserves to cover any potential financial risks faced by the PCC. </w:t>
      </w:r>
    </w:p>
    <w:p w14:paraId="37ADB292" w14:textId="77777777" w:rsidR="000A27AF" w:rsidRPr="00BA5CC9" w:rsidRDefault="000A27AF" w:rsidP="000A27AF">
      <w:pPr>
        <w:pStyle w:val="ListParagraph"/>
        <w:ind w:left="360"/>
        <w:jc w:val="both"/>
        <w:rPr>
          <w:rFonts w:ascii="Arial" w:hAnsi="Arial" w:cs="Arial"/>
          <w:color w:val="000000"/>
          <w:sz w:val="24"/>
          <w:szCs w:val="24"/>
        </w:rPr>
      </w:pPr>
    </w:p>
    <w:p w14:paraId="1DA86076" w14:textId="77777777" w:rsidR="000A27AF" w:rsidRPr="00BA5CC9" w:rsidRDefault="000A27AF" w:rsidP="000A27AF">
      <w:pPr>
        <w:pStyle w:val="ListParagraph"/>
        <w:numPr>
          <w:ilvl w:val="0"/>
          <w:numId w:val="2"/>
        </w:numPr>
        <w:jc w:val="both"/>
        <w:rPr>
          <w:rFonts w:ascii="Arial" w:hAnsi="Arial" w:cs="Arial"/>
          <w:color w:val="000000"/>
          <w:sz w:val="24"/>
          <w:szCs w:val="24"/>
        </w:rPr>
      </w:pPr>
      <w:r w:rsidRPr="00BA5CC9">
        <w:rPr>
          <w:rFonts w:ascii="Arial" w:hAnsi="Arial" w:cs="Arial"/>
          <w:color w:val="000000"/>
          <w:sz w:val="24"/>
          <w:szCs w:val="24"/>
        </w:rPr>
        <w:t>On 31 March 2025, the Police and Crime Commissioner’s General Reserve, including the PCC and CC delegated reserves, is estimated at £17.2m falling to £14.8m a year later. This is above the minimum of 3% of revenue expenditure which is in accordance with the approved reserves policy.</w:t>
      </w:r>
    </w:p>
    <w:p w14:paraId="5F89450A" w14:textId="77777777" w:rsidR="000A27AF" w:rsidRPr="00BA5CC9" w:rsidRDefault="000A27AF" w:rsidP="000A27AF">
      <w:pPr>
        <w:pStyle w:val="ListParagraph"/>
        <w:ind w:left="360"/>
        <w:jc w:val="both"/>
        <w:rPr>
          <w:rFonts w:ascii="Arial" w:hAnsi="Arial" w:cs="Arial"/>
          <w:color w:val="000000"/>
          <w:sz w:val="24"/>
          <w:szCs w:val="24"/>
        </w:rPr>
      </w:pPr>
    </w:p>
    <w:p w14:paraId="302A76FC" w14:textId="77777777" w:rsidR="000A27AF" w:rsidRPr="00BA5CC9" w:rsidRDefault="000A27AF" w:rsidP="000A27AF">
      <w:pPr>
        <w:pStyle w:val="ListParagraph"/>
        <w:numPr>
          <w:ilvl w:val="0"/>
          <w:numId w:val="2"/>
        </w:numPr>
        <w:spacing w:after="0"/>
        <w:jc w:val="both"/>
        <w:rPr>
          <w:rFonts w:ascii="Arial" w:hAnsi="Arial" w:cs="Arial"/>
          <w:color w:val="000000"/>
          <w:sz w:val="24"/>
          <w:szCs w:val="24"/>
        </w:rPr>
      </w:pPr>
      <w:r w:rsidRPr="00BA5CC9">
        <w:rPr>
          <w:rFonts w:ascii="Arial" w:hAnsi="Arial" w:cs="Arial"/>
          <w:color w:val="000000"/>
          <w:sz w:val="24"/>
          <w:szCs w:val="24"/>
        </w:rPr>
        <w:t xml:space="preserve">£3.6m of savings are required for 25/26 with £1.4m already been identified in the previous year and steps being taken to find the remainder. Looking forward the level of savings required increases, and so reserves may be needed to enable plans to be put in place to realise these. There are also sufficient reserves to cover any short-term shortfall. That said the Force has a good track record of delivering savings and are working hard to identify savings in future years to mitigate this risk. </w:t>
      </w:r>
    </w:p>
    <w:p w14:paraId="68238008" w14:textId="77777777" w:rsidR="000A27AF" w:rsidRPr="00232D86" w:rsidRDefault="000A27AF" w:rsidP="000A27AF">
      <w:pPr>
        <w:spacing w:after="0"/>
        <w:jc w:val="both"/>
        <w:rPr>
          <w:rFonts w:ascii="Arial" w:hAnsi="Arial" w:cs="Arial"/>
          <w:color w:val="000000"/>
          <w:sz w:val="24"/>
          <w:szCs w:val="24"/>
        </w:rPr>
      </w:pPr>
    </w:p>
    <w:p w14:paraId="34F38E9F" w14:textId="77777777" w:rsidR="000A27AF" w:rsidRPr="00232D86"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232D86">
        <w:rPr>
          <w:rFonts w:ascii="Arial" w:hAnsi="Arial" w:cs="Arial"/>
          <w:color w:val="000000"/>
          <w:sz w:val="24"/>
          <w:szCs w:val="24"/>
        </w:rPr>
        <w:t xml:space="preserve">After taking account of known and anticipated issues the Chief Financial Officer considers that the revenue and capital estimates are robust and that the level of reserves is adequate to cover the financial risks faced by the PCC Group for 2025/26. However, this is conditional on management continuing to work to find sustainable savings. Work has already started to identify changes to service provision that can save money, and these will need to be taken forward without delay. This will take time for business cases to be worked up and, in some cases, requires investment to save money. Senior leaders will need to prioritise leadership time to ensure that the savings are </w:t>
      </w:r>
      <w:proofErr w:type="gramStart"/>
      <w:r w:rsidRPr="00232D86">
        <w:rPr>
          <w:rFonts w:ascii="Arial" w:hAnsi="Arial" w:cs="Arial"/>
          <w:color w:val="000000"/>
          <w:sz w:val="24"/>
          <w:szCs w:val="24"/>
        </w:rPr>
        <w:t>delivered</w:t>
      </w:r>
      <w:proofErr w:type="gramEnd"/>
      <w:r w:rsidRPr="00232D86">
        <w:rPr>
          <w:rFonts w:ascii="Arial" w:hAnsi="Arial" w:cs="Arial"/>
          <w:color w:val="000000"/>
          <w:sz w:val="24"/>
          <w:szCs w:val="24"/>
        </w:rPr>
        <w:t xml:space="preserve"> and the future budgets balanced. If </w:t>
      </w:r>
      <w:r w:rsidRPr="00232D86">
        <w:rPr>
          <w:rFonts w:ascii="Arial" w:hAnsi="Arial" w:cs="Arial"/>
          <w:color w:val="000000"/>
          <w:sz w:val="24"/>
          <w:szCs w:val="24"/>
        </w:rPr>
        <w:lastRenderedPageBreak/>
        <w:t xml:space="preserve">during the year it looks as though savings targets will be missed, both the PCC’s Chief Finance Officer and Chief Constable’s Executive Director of Commercial and Finance will need to consider what mitigating actions can be taken. </w:t>
      </w:r>
    </w:p>
    <w:p w14:paraId="7EB329D2" w14:textId="77777777" w:rsidR="000A27AF" w:rsidRPr="00232D86" w:rsidRDefault="000A27AF" w:rsidP="000A27AF">
      <w:pPr>
        <w:pStyle w:val="ListParagraph"/>
        <w:ind w:left="360"/>
        <w:jc w:val="both"/>
        <w:rPr>
          <w:rFonts w:ascii="Arial" w:hAnsi="Arial" w:cs="Arial"/>
          <w:color w:val="000000"/>
          <w:sz w:val="24"/>
          <w:szCs w:val="24"/>
        </w:rPr>
      </w:pPr>
    </w:p>
    <w:p w14:paraId="3A58691B" w14:textId="77777777" w:rsidR="000A27AF" w:rsidRPr="00232D86" w:rsidRDefault="000A27AF" w:rsidP="000A27AF">
      <w:pPr>
        <w:pStyle w:val="ListParagraph"/>
        <w:autoSpaceDE w:val="0"/>
        <w:autoSpaceDN w:val="0"/>
        <w:adjustRightInd w:val="0"/>
        <w:spacing w:after="0" w:line="240" w:lineRule="auto"/>
        <w:ind w:left="360"/>
        <w:jc w:val="both"/>
        <w:rPr>
          <w:rFonts w:ascii="Arial" w:hAnsi="Arial" w:cs="Arial"/>
          <w:b/>
          <w:color w:val="000000"/>
          <w:sz w:val="24"/>
          <w:szCs w:val="24"/>
        </w:rPr>
      </w:pPr>
      <w:r w:rsidRPr="00232D86">
        <w:rPr>
          <w:rFonts w:ascii="Arial" w:hAnsi="Arial" w:cs="Arial"/>
          <w:b/>
          <w:color w:val="000000"/>
          <w:sz w:val="24"/>
          <w:szCs w:val="24"/>
        </w:rPr>
        <w:t xml:space="preserve">Council Tax Requirement </w:t>
      </w:r>
    </w:p>
    <w:p w14:paraId="6CC5088C" w14:textId="77777777" w:rsidR="000A27AF" w:rsidRPr="00232D86" w:rsidRDefault="000A27AF" w:rsidP="000A27AF">
      <w:pPr>
        <w:pStyle w:val="ListParagraph"/>
        <w:autoSpaceDE w:val="0"/>
        <w:autoSpaceDN w:val="0"/>
        <w:adjustRightInd w:val="0"/>
        <w:spacing w:after="0" w:line="240" w:lineRule="auto"/>
        <w:ind w:left="360"/>
        <w:jc w:val="both"/>
        <w:rPr>
          <w:rFonts w:ascii="Verdana" w:hAnsi="Verdana" w:cs="Verdana"/>
          <w:color w:val="000000"/>
          <w:sz w:val="23"/>
          <w:szCs w:val="23"/>
        </w:rPr>
      </w:pPr>
    </w:p>
    <w:p w14:paraId="5DE5D799" w14:textId="77777777" w:rsidR="000A27AF" w:rsidRPr="00232D86" w:rsidRDefault="000A27AF" w:rsidP="000A27AF">
      <w:pPr>
        <w:pStyle w:val="ListParagraph"/>
        <w:numPr>
          <w:ilvl w:val="0"/>
          <w:numId w:val="2"/>
        </w:numPr>
        <w:autoSpaceDE w:val="0"/>
        <w:autoSpaceDN w:val="0"/>
        <w:adjustRightInd w:val="0"/>
        <w:spacing w:after="0" w:line="240" w:lineRule="auto"/>
        <w:jc w:val="both"/>
        <w:rPr>
          <w:rFonts w:ascii="Arial" w:hAnsi="Arial" w:cs="Arial"/>
          <w:color w:val="000000"/>
          <w:sz w:val="24"/>
          <w:szCs w:val="24"/>
        </w:rPr>
      </w:pPr>
      <w:r w:rsidRPr="00232D86">
        <w:rPr>
          <w:rFonts w:ascii="Arial" w:hAnsi="Arial" w:cs="Arial"/>
          <w:color w:val="000000"/>
          <w:sz w:val="24"/>
          <w:szCs w:val="24"/>
        </w:rPr>
        <w:t>The Localism Act requires the Commissioner to set a Council Tax Requirement. The calculation of the Council Tax Requirement, based on the proposed revenue budget and contribution from reserves is set out below:</w:t>
      </w:r>
    </w:p>
    <w:p w14:paraId="558CE26C" w14:textId="77777777" w:rsidR="000A27AF" w:rsidRPr="0050145D" w:rsidRDefault="000A27AF" w:rsidP="000A27AF">
      <w:pPr>
        <w:pStyle w:val="ListParagraph"/>
        <w:autoSpaceDE w:val="0"/>
        <w:autoSpaceDN w:val="0"/>
        <w:adjustRightInd w:val="0"/>
        <w:spacing w:after="0" w:line="240" w:lineRule="auto"/>
        <w:ind w:left="360"/>
        <w:jc w:val="both"/>
        <w:rPr>
          <w:rFonts w:ascii="Arial" w:hAnsi="Arial" w:cs="Arial"/>
          <w:color w:val="000000"/>
          <w:sz w:val="24"/>
          <w:szCs w:val="24"/>
          <w:highlight w:val="yellow"/>
        </w:rPr>
      </w:pPr>
    </w:p>
    <w:p w14:paraId="18D71AE9" w14:textId="77777777" w:rsidR="000A27AF" w:rsidRPr="0050145D" w:rsidRDefault="000A27AF" w:rsidP="000A27AF">
      <w:pPr>
        <w:ind w:left="360"/>
        <w:rPr>
          <w:rFonts w:ascii="Arial" w:hAnsi="Arial" w:cs="Arial"/>
          <w:color w:val="000000"/>
          <w:sz w:val="24"/>
          <w:szCs w:val="24"/>
          <w:highlight w:val="yellow"/>
        </w:rPr>
      </w:pPr>
      <w:r w:rsidRPr="00D96A10">
        <w:rPr>
          <w:rFonts w:ascii="Arial" w:hAnsi="Arial" w:cs="Arial"/>
          <w:noProof/>
          <w:color w:val="000000"/>
          <w:sz w:val="24"/>
          <w:szCs w:val="24"/>
        </w:rPr>
        <w:drawing>
          <wp:inline distT="0" distB="0" distL="0" distR="0" wp14:anchorId="56637FB8" wp14:editId="422796A7">
            <wp:extent cx="5675630" cy="3401695"/>
            <wp:effectExtent l="0" t="0" r="1270" b="8255"/>
            <wp:docPr id="13770778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75630" cy="3401695"/>
                    </a:xfrm>
                    <a:prstGeom prst="rect">
                      <a:avLst/>
                    </a:prstGeom>
                    <a:noFill/>
                  </pic:spPr>
                </pic:pic>
              </a:graphicData>
            </a:graphic>
          </wp:inline>
        </w:drawing>
      </w:r>
    </w:p>
    <w:p w14:paraId="0F300FAD" w14:textId="77777777" w:rsidR="000A27AF" w:rsidRPr="007E4736" w:rsidRDefault="000A27AF" w:rsidP="000A27AF">
      <w:pPr>
        <w:pStyle w:val="ListParagraph"/>
        <w:numPr>
          <w:ilvl w:val="0"/>
          <w:numId w:val="2"/>
        </w:numPr>
        <w:jc w:val="both"/>
        <w:rPr>
          <w:rFonts w:ascii="Arial" w:hAnsi="Arial" w:cs="Arial"/>
          <w:color w:val="000000"/>
          <w:sz w:val="24"/>
          <w:szCs w:val="24"/>
        </w:rPr>
      </w:pPr>
      <w:r w:rsidRPr="007E4736">
        <w:rPr>
          <w:rFonts w:ascii="Arial" w:hAnsi="Arial" w:cs="Arial"/>
          <w:color w:val="000000"/>
          <w:sz w:val="24"/>
          <w:szCs w:val="24"/>
        </w:rPr>
        <w:t xml:space="preserve">The notified Council Tax base figure is 520,600 this represents an increase of 6,353 (1.2%) over the previous year. </w:t>
      </w:r>
    </w:p>
    <w:p w14:paraId="41D607B6" w14:textId="77777777" w:rsidR="000A27AF" w:rsidRPr="007E4736" w:rsidRDefault="000A27AF" w:rsidP="000A27AF">
      <w:pPr>
        <w:pStyle w:val="ListParagraph"/>
        <w:ind w:left="360"/>
        <w:jc w:val="both"/>
        <w:rPr>
          <w:rFonts w:ascii="Arial" w:hAnsi="Arial" w:cs="Arial"/>
          <w:color w:val="000000"/>
          <w:sz w:val="24"/>
          <w:szCs w:val="24"/>
        </w:rPr>
      </w:pPr>
    </w:p>
    <w:p w14:paraId="4AF29CDF" w14:textId="77777777" w:rsidR="000A27AF" w:rsidRPr="007E4736" w:rsidRDefault="000A27AF" w:rsidP="000A27AF">
      <w:pPr>
        <w:pStyle w:val="ListParagraph"/>
        <w:numPr>
          <w:ilvl w:val="0"/>
          <w:numId w:val="2"/>
        </w:numPr>
        <w:jc w:val="both"/>
        <w:rPr>
          <w:rFonts w:ascii="Arial" w:hAnsi="Arial" w:cs="Arial"/>
          <w:color w:val="000000"/>
          <w:sz w:val="24"/>
          <w:szCs w:val="24"/>
        </w:rPr>
      </w:pPr>
      <w:r w:rsidRPr="007E4736">
        <w:rPr>
          <w:rFonts w:ascii="Arial" w:hAnsi="Arial" w:cs="Arial"/>
          <w:color w:val="000000"/>
          <w:sz w:val="24"/>
          <w:szCs w:val="24"/>
        </w:rPr>
        <w:t xml:space="preserve">The billing authorities are forecasting a cumulative surplus of the collection fund of £2.6m due to </w:t>
      </w:r>
      <w:r>
        <w:rPr>
          <w:rFonts w:ascii="Arial" w:hAnsi="Arial" w:cs="Arial"/>
          <w:color w:val="000000"/>
          <w:sz w:val="24"/>
          <w:szCs w:val="24"/>
        </w:rPr>
        <w:t xml:space="preserve">new development and </w:t>
      </w:r>
      <w:r w:rsidRPr="007E4736">
        <w:rPr>
          <w:rFonts w:ascii="Arial" w:hAnsi="Arial" w:cs="Arial"/>
          <w:color w:val="000000"/>
          <w:sz w:val="24"/>
          <w:szCs w:val="24"/>
        </w:rPr>
        <w:t xml:space="preserve">better than anticipated collections during the year. </w:t>
      </w:r>
    </w:p>
    <w:p w14:paraId="5878E2FD" w14:textId="77777777" w:rsidR="000A27AF" w:rsidRPr="0050145D" w:rsidRDefault="000A27AF" w:rsidP="000A27AF">
      <w:pPr>
        <w:pStyle w:val="ListParagraph"/>
        <w:ind w:left="360"/>
        <w:jc w:val="both"/>
        <w:rPr>
          <w:rFonts w:ascii="Arial" w:hAnsi="Arial" w:cs="Arial"/>
          <w:color w:val="000000"/>
          <w:sz w:val="24"/>
          <w:szCs w:val="24"/>
          <w:highlight w:val="yellow"/>
        </w:rPr>
      </w:pPr>
    </w:p>
    <w:p w14:paraId="30A8E4CB" w14:textId="77777777" w:rsidR="000A27AF" w:rsidRPr="00C747E8" w:rsidRDefault="000A27AF" w:rsidP="000A27AF">
      <w:pPr>
        <w:pStyle w:val="ListParagraph"/>
        <w:ind w:left="360"/>
        <w:jc w:val="both"/>
        <w:rPr>
          <w:rFonts w:ascii="Arial" w:hAnsi="Arial" w:cs="Arial"/>
          <w:b/>
          <w:color w:val="000000"/>
          <w:sz w:val="24"/>
          <w:szCs w:val="24"/>
        </w:rPr>
      </w:pPr>
      <w:r w:rsidRPr="00C747E8">
        <w:rPr>
          <w:rFonts w:ascii="Arial" w:hAnsi="Arial" w:cs="Arial"/>
          <w:b/>
          <w:color w:val="000000"/>
          <w:sz w:val="24"/>
          <w:szCs w:val="24"/>
        </w:rPr>
        <w:t>Consultation with the Police and Crime Panel</w:t>
      </w:r>
    </w:p>
    <w:p w14:paraId="5A5E1444" w14:textId="77777777" w:rsidR="000A27AF" w:rsidRPr="00C747E8" w:rsidRDefault="000A27AF" w:rsidP="000A27AF">
      <w:pPr>
        <w:pStyle w:val="ListParagraph"/>
        <w:jc w:val="both"/>
        <w:rPr>
          <w:rFonts w:ascii="Arial" w:hAnsi="Arial" w:cs="Arial"/>
          <w:color w:val="000000"/>
          <w:sz w:val="24"/>
          <w:szCs w:val="24"/>
        </w:rPr>
      </w:pPr>
    </w:p>
    <w:p w14:paraId="663C4A58" w14:textId="77777777" w:rsidR="000A27AF" w:rsidRPr="00C747E8" w:rsidRDefault="000A27AF" w:rsidP="000A27AF">
      <w:pPr>
        <w:pStyle w:val="ListParagraph"/>
        <w:numPr>
          <w:ilvl w:val="0"/>
          <w:numId w:val="2"/>
        </w:numPr>
        <w:jc w:val="both"/>
        <w:rPr>
          <w:rFonts w:ascii="Arial" w:hAnsi="Arial" w:cs="Arial"/>
          <w:color w:val="000000"/>
          <w:sz w:val="24"/>
          <w:szCs w:val="24"/>
        </w:rPr>
      </w:pPr>
      <w:r w:rsidRPr="00C747E8">
        <w:rPr>
          <w:rFonts w:ascii="Arial" w:hAnsi="Arial" w:cs="Arial"/>
          <w:color w:val="000000"/>
          <w:sz w:val="24"/>
          <w:szCs w:val="24"/>
        </w:rPr>
        <w:t xml:space="preserve">The Police and Crime Panel considered the PCC precept proposals on the </w:t>
      </w:r>
      <w:proofErr w:type="gramStart"/>
      <w:r w:rsidRPr="00C747E8">
        <w:rPr>
          <w:rFonts w:ascii="Arial" w:hAnsi="Arial" w:cs="Arial"/>
          <w:color w:val="000000"/>
          <w:sz w:val="24"/>
          <w:szCs w:val="24"/>
        </w:rPr>
        <w:t>3rd</w:t>
      </w:r>
      <w:proofErr w:type="gramEnd"/>
      <w:r w:rsidRPr="00C747E8">
        <w:rPr>
          <w:rFonts w:ascii="Arial" w:hAnsi="Arial" w:cs="Arial"/>
          <w:color w:val="000000"/>
          <w:sz w:val="24"/>
          <w:szCs w:val="24"/>
        </w:rPr>
        <w:t xml:space="preserve"> February 2025. This meeting took place after two earlier finance subcommittee briefings. On the Chairman’s casting vote the panel rejected the proposed precept increase of £14 but did not veto it. The main reasons for not endorsing the recommendation </w:t>
      </w:r>
      <w:proofErr w:type="gramStart"/>
      <w:r w:rsidRPr="00C747E8">
        <w:rPr>
          <w:rFonts w:ascii="Arial" w:hAnsi="Arial" w:cs="Arial"/>
          <w:color w:val="000000"/>
          <w:sz w:val="24"/>
          <w:szCs w:val="24"/>
        </w:rPr>
        <w:t>was</w:t>
      </w:r>
      <w:proofErr w:type="gramEnd"/>
      <w:r w:rsidRPr="00C747E8">
        <w:rPr>
          <w:rFonts w:ascii="Arial" w:hAnsi="Arial" w:cs="Arial"/>
          <w:color w:val="000000"/>
          <w:sz w:val="24"/>
          <w:szCs w:val="24"/>
        </w:rPr>
        <w:t xml:space="preserve"> a concern that the burden on Surrey taxpayers was increasing and the increase was above inflation. </w:t>
      </w:r>
    </w:p>
    <w:p w14:paraId="31FD0369" w14:textId="77777777" w:rsidR="000A27AF" w:rsidRDefault="000A27AF" w:rsidP="000A27AF">
      <w:pPr>
        <w:pStyle w:val="ListParagraph"/>
        <w:ind w:left="360"/>
        <w:jc w:val="both"/>
        <w:rPr>
          <w:rFonts w:ascii="Arial" w:hAnsi="Arial" w:cs="Arial"/>
          <w:b/>
          <w:color w:val="000000"/>
          <w:sz w:val="24"/>
          <w:szCs w:val="24"/>
        </w:rPr>
      </w:pPr>
    </w:p>
    <w:p w14:paraId="5278AD22" w14:textId="77777777" w:rsidR="000A27AF" w:rsidRPr="008A6947" w:rsidRDefault="000A27AF" w:rsidP="000A27AF">
      <w:pPr>
        <w:pStyle w:val="ListParagraph"/>
        <w:ind w:left="360"/>
        <w:jc w:val="both"/>
        <w:rPr>
          <w:rFonts w:ascii="Arial" w:hAnsi="Arial" w:cs="Arial"/>
          <w:b/>
          <w:color w:val="000000"/>
          <w:sz w:val="24"/>
          <w:szCs w:val="24"/>
        </w:rPr>
      </w:pPr>
      <w:r w:rsidRPr="008A6947">
        <w:rPr>
          <w:rFonts w:ascii="Arial" w:hAnsi="Arial" w:cs="Arial"/>
          <w:b/>
          <w:color w:val="000000"/>
          <w:sz w:val="24"/>
          <w:szCs w:val="24"/>
        </w:rPr>
        <w:t>Risk Management</w:t>
      </w:r>
    </w:p>
    <w:p w14:paraId="7A96D0F5" w14:textId="77777777" w:rsidR="000A27AF" w:rsidRPr="008A6947" w:rsidRDefault="000A27AF" w:rsidP="000A27AF">
      <w:pPr>
        <w:pStyle w:val="ListParagraph"/>
        <w:ind w:left="360"/>
        <w:jc w:val="both"/>
        <w:rPr>
          <w:rFonts w:ascii="Arial" w:hAnsi="Arial" w:cs="Arial"/>
          <w:b/>
          <w:color w:val="000000"/>
          <w:sz w:val="24"/>
          <w:szCs w:val="24"/>
        </w:rPr>
      </w:pPr>
    </w:p>
    <w:p w14:paraId="06DB3E85" w14:textId="77777777" w:rsidR="000A27AF" w:rsidRPr="008A6947" w:rsidRDefault="000A27AF" w:rsidP="000A27AF">
      <w:pPr>
        <w:pStyle w:val="ListParagraph"/>
        <w:numPr>
          <w:ilvl w:val="0"/>
          <w:numId w:val="2"/>
        </w:numPr>
        <w:jc w:val="both"/>
        <w:rPr>
          <w:rFonts w:ascii="Arial" w:hAnsi="Arial" w:cs="Arial"/>
          <w:color w:val="000000"/>
          <w:sz w:val="24"/>
          <w:szCs w:val="24"/>
        </w:rPr>
      </w:pPr>
      <w:r w:rsidRPr="008A6947">
        <w:rPr>
          <w:rFonts w:ascii="Arial" w:hAnsi="Arial" w:cs="Arial"/>
          <w:color w:val="000000"/>
          <w:sz w:val="24"/>
          <w:szCs w:val="24"/>
        </w:rPr>
        <w:t>Associated risks have been considered and recorded as appropriate and are set out in Appendix A.</w:t>
      </w:r>
    </w:p>
    <w:p w14:paraId="23FA1D01" w14:textId="77777777" w:rsidR="000A27AF" w:rsidRPr="008A6947" w:rsidRDefault="000A27AF" w:rsidP="000A27AF">
      <w:pPr>
        <w:pStyle w:val="ListParagraph"/>
        <w:ind w:left="360"/>
        <w:jc w:val="both"/>
        <w:rPr>
          <w:rFonts w:ascii="Arial" w:hAnsi="Arial" w:cs="Arial"/>
          <w:color w:val="000000"/>
          <w:sz w:val="24"/>
          <w:szCs w:val="24"/>
        </w:rPr>
      </w:pPr>
    </w:p>
    <w:p w14:paraId="4D377B0A" w14:textId="77777777" w:rsidR="000A27AF" w:rsidRPr="008A6947" w:rsidRDefault="000A27AF" w:rsidP="000A27AF">
      <w:pPr>
        <w:ind w:left="360"/>
        <w:contextualSpacing/>
        <w:jc w:val="both"/>
        <w:rPr>
          <w:rFonts w:ascii="Arial" w:hAnsi="Arial" w:cs="Arial"/>
          <w:b/>
          <w:sz w:val="24"/>
          <w:szCs w:val="24"/>
        </w:rPr>
      </w:pPr>
      <w:r w:rsidRPr="008A6947">
        <w:rPr>
          <w:rFonts w:ascii="Arial" w:hAnsi="Arial" w:cs="Arial"/>
          <w:b/>
          <w:sz w:val="24"/>
          <w:szCs w:val="24"/>
        </w:rPr>
        <w:t>Legal</w:t>
      </w:r>
    </w:p>
    <w:p w14:paraId="64781A01" w14:textId="77777777" w:rsidR="000A27AF" w:rsidRPr="008A6947" w:rsidRDefault="000A27AF" w:rsidP="000A27AF">
      <w:pPr>
        <w:contextualSpacing/>
        <w:jc w:val="both"/>
        <w:rPr>
          <w:rFonts w:ascii="Arial" w:hAnsi="Arial" w:cs="Arial"/>
          <w:b/>
          <w:sz w:val="24"/>
          <w:szCs w:val="24"/>
        </w:rPr>
      </w:pPr>
    </w:p>
    <w:p w14:paraId="6E8A7D5D" w14:textId="77777777" w:rsidR="000A27AF" w:rsidRPr="008A6947" w:rsidRDefault="000A27AF" w:rsidP="000A27AF">
      <w:pPr>
        <w:pStyle w:val="ListParagraph"/>
        <w:numPr>
          <w:ilvl w:val="0"/>
          <w:numId w:val="2"/>
        </w:numPr>
        <w:jc w:val="both"/>
        <w:rPr>
          <w:rFonts w:ascii="Arial" w:hAnsi="Arial" w:cs="Arial"/>
          <w:sz w:val="24"/>
          <w:szCs w:val="24"/>
        </w:rPr>
      </w:pPr>
      <w:r w:rsidRPr="008A6947">
        <w:rPr>
          <w:rFonts w:ascii="Arial" w:hAnsi="Arial" w:cs="Arial"/>
          <w:sz w:val="24"/>
          <w:szCs w:val="24"/>
        </w:rPr>
        <w:t>The PCC has the legal responsibility duty to set the precept, revenue, and capital budget for the year.</w:t>
      </w:r>
    </w:p>
    <w:p w14:paraId="51F8534B" w14:textId="77777777" w:rsidR="000A27AF" w:rsidRPr="008A6947" w:rsidRDefault="000A27AF" w:rsidP="000A27AF">
      <w:pPr>
        <w:contextualSpacing/>
        <w:jc w:val="both"/>
        <w:rPr>
          <w:rFonts w:ascii="Arial" w:hAnsi="Arial" w:cs="Arial"/>
          <w:sz w:val="24"/>
          <w:szCs w:val="24"/>
        </w:rPr>
      </w:pPr>
    </w:p>
    <w:p w14:paraId="3EA03D7C" w14:textId="77777777" w:rsidR="000A27AF" w:rsidRPr="008A6947" w:rsidRDefault="000A27AF" w:rsidP="000A27AF">
      <w:pPr>
        <w:ind w:left="360"/>
        <w:contextualSpacing/>
        <w:jc w:val="both"/>
        <w:rPr>
          <w:rFonts w:ascii="Arial" w:hAnsi="Arial" w:cs="Arial"/>
          <w:sz w:val="24"/>
          <w:szCs w:val="24"/>
        </w:rPr>
      </w:pPr>
      <w:r w:rsidRPr="008A6947">
        <w:rPr>
          <w:rFonts w:ascii="Arial" w:hAnsi="Arial" w:cs="Arial"/>
          <w:b/>
          <w:sz w:val="24"/>
          <w:szCs w:val="24"/>
        </w:rPr>
        <w:t>Equality and diversity</w:t>
      </w:r>
    </w:p>
    <w:p w14:paraId="2463A4B3" w14:textId="77777777" w:rsidR="000A27AF" w:rsidRPr="008A6947" w:rsidRDefault="000A27AF" w:rsidP="000A27AF">
      <w:pPr>
        <w:contextualSpacing/>
        <w:jc w:val="both"/>
        <w:rPr>
          <w:rFonts w:ascii="Arial" w:hAnsi="Arial" w:cs="Arial"/>
          <w:sz w:val="24"/>
          <w:szCs w:val="24"/>
        </w:rPr>
      </w:pPr>
      <w:r w:rsidRPr="008A6947">
        <w:rPr>
          <w:rFonts w:ascii="Arial" w:hAnsi="Arial" w:cs="Arial"/>
          <w:sz w:val="24"/>
          <w:szCs w:val="24"/>
        </w:rPr>
        <w:t>.</w:t>
      </w:r>
    </w:p>
    <w:p w14:paraId="1DB23B06" w14:textId="77777777" w:rsidR="000A27AF" w:rsidRPr="008A6947" w:rsidRDefault="000A27AF" w:rsidP="000A27AF">
      <w:pPr>
        <w:pStyle w:val="ListParagraph"/>
        <w:numPr>
          <w:ilvl w:val="0"/>
          <w:numId w:val="2"/>
        </w:numPr>
        <w:jc w:val="both"/>
        <w:rPr>
          <w:rFonts w:ascii="Arial" w:hAnsi="Arial" w:cs="Arial"/>
          <w:sz w:val="24"/>
          <w:szCs w:val="24"/>
        </w:rPr>
      </w:pPr>
      <w:r w:rsidRPr="008A6947">
        <w:rPr>
          <w:rFonts w:ascii="Arial" w:hAnsi="Arial" w:cs="Arial"/>
          <w:sz w:val="24"/>
          <w:szCs w:val="24"/>
        </w:rPr>
        <w:t>Any implications arising from this budget in respect of Equality and Diversity have been considered by the Chief Constable as part of the budget setting process.</w:t>
      </w:r>
    </w:p>
    <w:p w14:paraId="598F2068" w14:textId="77777777" w:rsidR="000A27AF" w:rsidRPr="0050145D" w:rsidRDefault="000A27AF" w:rsidP="000A27AF">
      <w:pPr>
        <w:pStyle w:val="ListParagraph"/>
        <w:ind w:left="360"/>
        <w:jc w:val="both"/>
        <w:rPr>
          <w:rFonts w:ascii="Arial" w:hAnsi="Arial" w:cs="Arial"/>
          <w:sz w:val="24"/>
          <w:szCs w:val="24"/>
          <w:highlight w:val="yellow"/>
        </w:rPr>
      </w:pPr>
    </w:p>
    <w:p w14:paraId="62DB1DB4" w14:textId="77777777" w:rsidR="000A27AF" w:rsidRPr="000B5FAB" w:rsidRDefault="000A27AF" w:rsidP="000A27AF">
      <w:pPr>
        <w:pStyle w:val="Default"/>
        <w:rPr>
          <w:rFonts w:ascii="Arial" w:hAnsi="Arial" w:cs="Arial"/>
        </w:rPr>
      </w:pPr>
      <w:r w:rsidRPr="000B5FAB">
        <w:rPr>
          <w:rFonts w:ascii="Arial" w:hAnsi="Arial" w:cs="Arial"/>
          <w:b/>
          <w:bCs/>
        </w:rPr>
        <w:t xml:space="preserve">Kelvin Menon </w:t>
      </w:r>
    </w:p>
    <w:p w14:paraId="0B0F8020" w14:textId="77777777" w:rsidR="000A27AF" w:rsidRPr="000B5FAB" w:rsidRDefault="000A27AF" w:rsidP="000A27AF">
      <w:pPr>
        <w:pStyle w:val="Default"/>
        <w:rPr>
          <w:rFonts w:ascii="Arial" w:hAnsi="Arial" w:cs="Arial"/>
        </w:rPr>
      </w:pPr>
      <w:r w:rsidRPr="000B5FAB">
        <w:rPr>
          <w:rFonts w:ascii="Arial" w:hAnsi="Arial" w:cs="Arial"/>
          <w:b/>
          <w:bCs/>
        </w:rPr>
        <w:t xml:space="preserve">Chief Finance Officer, Office of the PCC </w:t>
      </w:r>
    </w:p>
    <w:p w14:paraId="6CB2F728" w14:textId="77777777" w:rsidR="000A27AF" w:rsidRPr="000B5FAB" w:rsidRDefault="000A27AF" w:rsidP="000A27AF">
      <w:pPr>
        <w:pStyle w:val="Default"/>
        <w:rPr>
          <w:rFonts w:ascii="Arial" w:hAnsi="Arial" w:cs="Arial"/>
        </w:rPr>
      </w:pPr>
      <w:r w:rsidRPr="000B5FAB">
        <w:rPr>
          <w:rFonts w:ascii="Arial" w:hAnsi="Arial" w:cs="Arial"/>
        </w:rPr>
        <w:t xml:space="preserve">Contact: Kelvin Menon, Chief Finance Officer </w:t>
      </w:r>
    </w:p>
    <w:p w14:paraId="28C0A7D4" w14:textId="77777777" w:rsidR="000A27AF" w:rsidRPr="000B5FAB" w:rsidRDefault="000A27AF" w:rsidP="000A27AF">
      <w:pPr>
        <w:pStyle w:val="Default"/>
        <w:rPr>
          <w:rFonts w:ascii="Arial" w:hAnsi="Arial" w:cs="Arial"/>
        </w:rPr>
      </w:pPr>
      <w:r w:rsidRPr="000B5FAB">
        <w:rPr>
          <w:rFonts w:ascii="Arial" w:hAnsi="Arial" w:cs="Arial"/>
          <w:b/>
          <w:bCs/>
        </w:rPr>
        <w:t>Email: kelvin.menon@surrey.police.uk</w:t>
      </w:r>
    </w:p>
    <w:p w14:paraId="01F331E2" w14:textId="77777777" w:rsidR="000A27AF" w:rsidRPr="0050145D" w:rsidRDefault="000A27AF" w:rsidP="000A27AF">
      <w:pPr>
        <w:pStyle w:val="ListParagraph"/>
        <w:rPr>
          <w:rFonts w:ascii="Arial" w:hAnsi="Arial" w:cs="Arial"/>
          <w:color w:val="000000"/>
          <w:sz w:val="24"/>
          <w:szCs w:val="24"/>
          <w:highlight w:val="yellow"/>
        </w:rPr>
      </w:pPr>
    </w:p>
    <w:p w14:paraId="69CD519D" w14:textId="77777777" w:rsidR="000A27AF" w:rsidRPr="0050145D" w:rsidRDefault="000A27AF" w:rsidP="000A27AF">
      <w:pPr>
        <w:rPr>
          <w:rFonts w:ascii="Arial" w:hAnsi="Arial" w:cs="Arial"/>
          <w:color w:val="000000"/>
          <w:sz w:val="24"/>
          <w:szCs w:val="24"/>
          <w:highlight w:val="yellow"/>
        </w:rPr>
      </w:pPr>
      <w:r w:rsidRPr="0050145D">
        <w:rPr>
          <w:rFonts w:ascii="Arial" w:hAnsi="Arial" w:cs="Arial"/>
          <w:color w:val="000000"/>
          <w:sz w:val="24"/>
          <w:szCs w:val="24"/>
          <w:highlight w:val="yellow"/>
        </w:rPr>
        <w:br w:type="page"/>
      </w:r>
    </w:p>
    <w:p w14:paraId="04C0DBD1" w14:textId="77777777" w:rsidR="000A27AF" w:rsidRPr="00142F53" w:rsidRDefault="000A27AF" w:rsidP="000A27AF">
      <w:pPr>
        <w:pStyle w:val="Default"/>
        <w:rPr>
          <w:rFonts w:ascii="Arial" w:hAnsi="Arial" w:cs="Arial"/>
        </w:rPr>
      </w:pPr>
      <w:r w:rsidRPr="00142F53">
        <w:rPr>
          <w:rFonts w:ascii="Arial" w:hAnsi="Arial" w:cs="Arial"/>
          <w:b/>
          <w:bCs/>
        </w:rPr>
        <w:lastRenderedPageBreak/>
        <w:t xml:space="preserve">Appendices: </w:t>
      </w:r>
    </w:p>
    <w:p w14:paraId="75BD9AFE" w14:textId="77777777" w:rsidR="000A27AF" w:rsidRPr="00142F53" w:rsidRDefault="000A27AF" w:rsidP="000A27AF">
      <w:pPr>
        <w:pStyle w:val="Default"/>
        <w:rPr>
          <w:rFonts w:ascii="Arial" w:hAnsi="Arial" w:cs="Arial"/>
          <w:b/>
          <w:bCs/>
        </w:rPr>
      </w:pPr>
    </w:p>
    <w:p w14:paraId="05EFF9B7" w14:textId="77777777" w:rsidR="000A27AF" w:rsidRPr="00142F53" w:rsidRDefault="000A27AF" w:rsidP="000A27AF">
      <w:pPr>
        <w:pStyle w:val="Default"/>
        <w:rPr>
          <w:rFonts w:ascii="Arial" w:hAnsi="Arial" w:cs="Arial"/>
        </w:rPr>
      </w:pPr>
      <w:r w:rsidRPr="00142F53">
        <w:rPr>
          <w:rFonts w:ascii="Arial" w:hAnsi="Arial" w:cs="Arial"/>
          <w:b/>
          <w:bCs/>
        </w:rPr>
        <w:t xml:space="preserve">Appendix A </w:t>
      </w:r>
      <w:r w:rsidRPr="00142F53">
        <w:rPr>
          <w:rFonts w:ascii="Arial" w:hAnsi="Arial" w:cs="Arial"/>
          <w:b/>
          <w:bCs/>
        </w:rPr>
        <w:tab/>
      </w:r>
      <w:r w:rsidRPr="00142F53">
        <w:rPr>
          <w:rFonts w:ascii="Arial" w:hAnsi="Arial" w:cs="Arial"/>
          <w:b/>
          <w:bCs/>
        </w:rPr>
        <w:tab/>
      </w:r>
      <w:r w:rsidRPr="00142F53">
        <w:rPr>
          <w:rFonts w:ascii="Arial" w:hAnsi="Arial" w:cs="Arial"/>
        </w:rPr>
        <w:t xml:space="preserve">FINANCIAL RISK ANALYSIS </w:t>
      </w:r>
    </w:p>
    <w:p w14:paraId="624B8345" w14:textId="77777777" w:rsidR="000A27AF" w:rsidRPr="00142F53" w:rsidRDefault="000A27AF" w:rsidP="000A27AF">
      <w:pPr>
        <w:pStyle w:val="Default"/>
        <w:rPr>
          <w:rFonts w:ascii="Arial" w:hAnsi="Arial" w:cs="Arial"/>
        </w:rPr>
      </w:pPr>
      <w:r w:rsidRPr="00142F53">
        <w:rPr>
          <w:rFonts w:ascii="Arial" w:hAnsi="Arial" w:cs="Arial"/>
          <w:b/>
          <w:bCs/>
        </w:rPr>
        <w:t xml:space="preserve">Appendix B </w:t>
      </w:r>
      <w:r w:rsidRPr="00142F53">
        <w:rPr>
          <w:rFonts w:ascii="Arial" w:hAnsi="Arial" w:cs="Arial"/>
          <w:b/>
          <w:bCs/>
        </w:rPr>
        <w:tab/>
      </w:r>
      <w:r w:rsidRPr="00142F53">
        <w:rPr>
          <w:rFonts w:ascii="Arial" w:hAnsi="Arial" w:cs="Arial"/>
          <w:b/>
          <w:bCs/>
        </w:rPr>
        <w:tab/>
      </w:r>
      <w:r w:rsidRPr="00142F53">
        <w:rPr>
          <w:rFonts w:ascii="Arial" w:hAnsi="Arial" w:cs="Arial"/>
        </w:rPr>
        <w:t xml:space="preserve">TAX BASE AND PRECEPT SCHEDULE 2025/26 </w:t>
      </w:r>
    </w:p>
    <w:p w14:paraId="5967C2F4" w14:textId="05F7EB33" w:rsidR="00EB2AA4" w:rsidRDefault="000A27AF" w:rsidP="000A27AF">
      <w:r w:rsidRPr="00142F53">
        <w:rPr>
          <w:rFonts w:ascii="Arial" w:hAnsi="Arial" w:cs="Arial"/>
          <w:b/>
          <w:sz w:val="24"/>
          <w:szCs w:val="24"/>
        </w:rPr>
        <w:t>Appendix C</w:t>
      </w:r>
      <w:r w:rsidRPr="00142F53">
        <w:rPr>
          <w:rFonts w:ascii="Arial" w:hAnsi="Arial" w:cs="Arial"/>
          <w:sz w:val="24"/>
          <w:szCs w:val="24"/>
        </w:rPr>
        <w:tab/>
      </w:r>
      <w:r w:rsidRPr="00142F53">
        <w:rPr>
          <w:rFonts w:ascii="Arial" w:hAnsi="Arial" w:cs="Arial"/>
        </w:rPr>
        <w:tab/>
        <w:t>MEDIUM TERM FINANCIAL STRATEGY A</w:t>
      </w:r>
    </w:p>
    <w:sectPr w:rsidR="00EB2A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2E0"/>
    <w:multiLevelType w:val="hybridMultilevel"/>
    <w:tmpl w:val="A2AE7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E7183A"/>
    <w:multiLevelType w:val="hybridMultilevel"/>
    <w:tmpl w:val="050E3BB0"/>
    <w:lvl w:ilvl="0" w:tplc="08090001">
      <w:start w:val="1"/>
      <w:numFmt w:val="bullet"/>
      <w:lvlText w:val=""/>
      <w:lvlJc w:val="left"/>
      <w:pPr>
        <w:ind w:left="720" w:hanging="360"/>
      </w:pPr>
      <w:rPr>
        <w:rFonts w:ascii="Symbol" w:hAnsi="Symbol" w:hint="default"/>
        <w:b w:val="0"/>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2B40422"/>
    <w:multiLevelType w:val="hybridMultilevel"/>
    <w:tmpl w:val="88A0C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C44BC1"/>
    <w:multiLevelType w:val="hybridMultilevel"/>
    <w:tmpl w:val="F6DCDFBA"/>
    <w:lvl w:ilvl="0" w:tplc="0809001B">
      <w:start w:val="1"/>
      <w:numFmt w:val="lowerRoman"/>
      <w:lvlText w:val="%1."/>
      <w:lvlJc w:val="right"/>
      <w:pPr>
        <w:ind w:left="3960" w:hanging="360"/>
      </w:p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4" w15:restartNumberingAfterBreak="0">
    <w:nsid w:val="3D3B3D51"/>
    <w:multiLevelType w:val="hybridMultilevel"/>
    <w:tmpl w:val="CCCAEC4A"/>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4F36C4B"/>
    <w:multiLevelType w:val="hybridMultilevel"/>
    <w:tmpl w:val="6ECA9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9476701"/>
    <w:multiLevelType w:val="hybridMultilevel"/>
    <w:tmpl w:val="D19C071A"/>
    <w:lvl w:ilvl="0" w:tplc="7C8EB6D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1E3D07"/>
    <w:multiLevelType w:val="hybridMultilevel"/>
    <w:tmpl w:val="9F2CF4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B428B1"/>
    <w:multiLevelType w:val="hybridMultilevel"/>
    <w:tmpl w:val="8604A5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56596D95"/>
    <w:multiLevelType w:val="hybridMultilevel"/>
    <w:tmpl w:val="40EE61DC"/>
    <w:lvl w:ilvl="0" w:tplc="08090001">
      <w:start w:val="1"/>
      <w:numFmt w:val="bullet"/>
      <w:lvlText w:val=""/>
      <w:lvlJc w:val="left"/>
      <w:pPr>
        <w:ind w:left="1440" w:hanging="360"/>
      </w:pPr>
      <w:rPr>
        <w:rFonts w:ascii="Symbol" w:hAnsi="Symbol" w:hint="default"/>
        <w:b w:val="0"/>
        <w:bCs/>
      </w:rPr>
    </w:lvl>
    <w:lvl w:ilvl="1" w:tplc="FFFFFFFF">
      <w:start w:val="1"/>
      <w:numFmt w:val="bullet"/>
      <w:lvlText w:val=""/>
      <w:lvlJc w:val="left"/>
      <w:pPr>
        <w:ind w:left="1800" w:hanging="360"/>
      </w:pPr>
      <w:rPr>
        <w:rFonts w:ascii="Symbol" w:hAnsi="Symbol" w:hint="default"/>
      </w:r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6DE450E"/>
    <w:multiLevelType w:val="hybridMultilevel"/>
    <w:tmpl w:val="D778B2F4"/>
    <w:lvl w:ilvl="0" w:tplc="7C8EB6D6">
      <w:numFmt w:val="bullet"/>
      <w:lvlText w:val="•"/>
      <w:lvlJc w:val="left"/>
      <w:pPr>
        <w:ind w:left="720" w:hanging="360"/>
      </w:pPr>
      <w:rPr>
        <w:rFonts w:ascii="Arial" w:eastAsiaTheme="minorHAnsi" w:hAnsi="Arial" w:cs="Arial" w:hint="default"/>
      </w:rPr>
    </w:lvl>
    <w:lvl w:ilvl="1" w:tplc="F09E817E">
      <w:numFmt w:val="bullet"/>
      <w:lvlText w:val="–"/>
      <w:lvlJc w:val="left"/>
      <w:pPr>
        <w:ind w:left="1440" w:hanging="360"/>
      </w:pPr>
      <w:rPr>
        <w:rFonts w:ascii="Verdana" w:eastAsiaTheme="minorHAnsi" w:hAnsi="Verdana" w:cs="Verdan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04903"/>
    <w:multiLevelType w:val="hybridMultilevel"/>
    <w:tmpl w:val="80F824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9E2CC9"/>
    <w:multiLevelType w:val="hybridMultilevel"/>
    <w:tmpl w:val="4D8EC734"/>
    <w:lvl w:ilvl="0" w:tplc="A5E4B576">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BD871B4"/>
    <w:multiLevelType w:val="hybridMultilevel"/>
    <w:tmpl w:val="94A024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F1B0719"/>
    <w:multiLevelType w:val="hybridMultilevel"/>
    <w:tmpl w:val="D3F6F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1086540">
    <w:abstractNumId w:val="0"/>
  </w:num>
  <w:num w:numId="2" w16cid:durableId="1737044827">
    <w:abstractNumId w:val="12"/>
  </w:num>
  <w:num w:numId="3" w16cid:durableId="1698047515">
    <w:abstractNumId w:val="10"/>
  </w:num>
  <w:num w:numId="4" w16cid:durableId="596644235">
    <w:abstractNumId w:val="4"/>
  </w:num>
  <w:num w:numId="5" w16cid:durableId="1213618038">
    <w:abstractNumId w:val="3"/>
  </w:num>
  <w:num w:numId="6" w16cid:durableId="969016990">
    <w:abstractNumId w:val="8"/>
  </w:num>
  <w:num w:numId="7" w16cid:durableId="1514611022">
    <w:abstractNumId w:val="14"/>
  </w:num>
  <w:num w:numId="8" w16cid:durableId="1857452972">
    <w:abstractNumId w:val="5"/>
  </w:num>
  <w:num w:numId="9" w16cid:durableId="1352999032">
    <w:abstractNumId w:val="7"/>
  </w:num>
  <w:num w:numId="10" w16cid:durableId="1537739187">
    <w:abstractNumId w:val="6"/>
  </w:num>
  <w:num w:numId="11" w16cid:durableId="116919619">
    <w:abstractNumId w:val="13"/>
  </w:num>
  <w:num w:numId="12" w16cid:durableId="732002072">
    <w:abstractNumId w:val="9"/>
  </w:num>
  <w:num w:numId="13" w16cid:durableId="1358965453">
    <w:abstractNumId w:val="2"/>
  </w:num>
  <w:num w:numId="14" w16cid:durableId="1732532532">
    <w:abstractNumId w:val="11"/>
  </w:num>
  <w:num w:numId="15" w16cid:durableId="344481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AF"/>
    <w:rsid w:val="000A27AF"/>
    <w:rsid w:val="00624526"/>
    <w:rsid w:val="00AE7B20"/>
    <w:rsid w:val="00CF5C64"/>
    <w:rsid w:val="00EB2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CECAA"/>
  <w15:chartTrackingRefBased/>
  <w15:docId w15:val="{F2592EEE-0FB8-410A-A6D3-CB3699ADF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7AF"/>
    <w:pPr>
      <w:spacing w:after="200" w:line="276" w:lineRule="auto"/>
    </w:pPr>
    <w:rPr>
      <w:kern w:val="0"/>
      <w14:ligatures w14:val="none"/>
    </w:rPr>
  </w:style>
  <w:style w:type="paragraph" w:styleId="Heading1">
    <w:name w:val="heading 1"/>
    <w:basedOn w:val="Normal"/>
    <w:next w:val="Normal"/>
    <w:link w:val="Heading1Char"/>
    <w:uiPriority w:val="9"/>
    <w:qFormat/>
    <w:rsid w:val="000A27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0A27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27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27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27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27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27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27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27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7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0A27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27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27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27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27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27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27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27AF"/>
    <w:rPr>
      <w:rFonts w:eastAsiaTheme="majorEastAsia" w:cstheme="majorBidi"/>
      <w:color w:val="272727" w:themeColor="text1" w:themeTint="D8"/>
    </w:rPr>
  </w:style>
  <w:style w:type="paragraph" w:styleId="Title">
    <w:name w:val="Title"/>
    <w:basedOn w:val="Normal"/>
    <w:next w:val="Normal"/>
    <w:link w:val="TitleChar"/>
    <w:uiPriority w:val="10"/>
    <w:qFormat/>
    <w:rsid w:val="000A27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27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27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27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27AF"/>
    <w:pPr>
      <w:spacing w:before="160"/>
      <w:jc w:val="center"/>
    </w:pPr>
    <w:rPr>
      <w:i/>
      <w:iCs/>
      <w:color w:val="404040" w:themeColor="text1" w:themeTint="BF"/>
    </w:rPr>
  </w:style>
  <w:style w:type="character" w:customStyle="1" w:styleId="QuoteChar">
    <w:name w:val="Quote Char"/>
    <w:basedOn w:val="DefaultParagraphFont"/>
    <w:link w:val="Quote"/>
    <w:uiPriority w:val="29"/>
    <w:rsid w:val="000A27AF"/>
    <w:rPr>
      <w:i/>
      <w:iCs/>
      <w:color w:val="404040" w:themeColor="text1" w:themeTint="BF"/>
    </w:rPr>
  </w:style>
  <w:style w:type="paragraph" w:styleId="ListParagraph">
    <w:name w:val="List Paragraph"/>
    <w:basedOn w:val="Normal"/>
    <w:uiPriority w:val="34"/>
    <w:qFormat/>
    <w:rsid w:val="000A27AF"/>
    <w:pPr>
      <w:ind w:left="720"/>
      <w:contextualSpacing/>
    </w:pPr>
  </w:style>
  <w:style w:type="character" w:styleId="IntenseEmphasis">
    <w:name w:val="Intense Emphasis"/>
    <w:basedOn w:val="DefaultParagraphFont"/>
    <w:uiPriority w:val="21"/>
    <w:qFormat/>
    <w:rsid w:val="000A27AF"/>
    <w:rPr>
      <w:i/>
      <w:iCs/>
      <w:color w:val="0F4761" w:themeColor="accent1" w:themeShade="BF"/>
    </w:rPr>
  </w:style>
  <w:style w:type="paragraph" w:styleId="IntenseQuote">
    <w:name w:val="Intense Quote"/>
    <w:basedOn w:val="Normal"/>
    <w:next w:val="Normal"/>
    <w:link w:val="IntenseQuoteChar"/>
    <w:uiPriority w:val="30"/>
    <w:qFormat/>
    <w:rsid w:val="000A27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27AF"/>
    <w:rPr>
      <w:i/>
      <w:iCs/>
      <w:color w:val="0F4761" w:themeColor="accent1" w:themeShade="BF"/>
    </w:rPr>
  </w:style>
  <w:style w:type="character" w:styleId="IntenseReference">
    <w:name w:val="Intense Reference"/>
    <w:basedOn w:val="DefaultParagraphFont"/>
    <w:uiPriority w:val="32"/>
    <w:qFormat/>
    <w:rsid w:val="000A27AF"/>
    <w:rPr>
      <w:b/>
      <w:bCs/>
      <w:smallCaps/>
      <w:color w:val="0F4761" w:themeColor="accent1" w:themeShade="BF"/>
      <w:spacing w:val="5"/>
    </w:rPr>
  </w:style>
  <w:style w:type="paragraph" w:styleId="Header">
    <w:name w:val="header"/>
    <w:basedOn w:val="Normal"/>
    <w:link w:val="HeaderChar"/>
    <w:uiPriority w:val="99"/>
    <w:unhideWhenUsed/>
    <w:rsid w:val="000A2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7AF"/>
    <w:rPr>
      <w:kern w:val="0"/>
      <w14:ligatures w14:val="none"/>
    </w:rPr>
  </w:style>
  <w:style w:type="paragraph" w:styleId="Footer">
    <w:name w:val="footer"/>
    <w:basedOn w:val="Normal"/>
    <w:link w:val="FooterChar"/>
    <w:uiPriority w:val="99"/>
    <w:unhideWhenUsed/>
    <w:rsid w:val="000A2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7AF"/>
    <w:rPr>
      <w:kern w:val="0"/>
      <w14:ligatures w14:val="none"/>
    </w:rPr>
  </w:style>
  <w:style w:type="paragraph" w:styleId="BodyText3">
    <w:name w:val="Body Text 3"/>
    <w:basedOn w:val="Normal"/>
    <w:link w:val="BodyText3Char"/>
    <w:uiPriority w:val="99"/>
    <w:unhideWhenUsed/>
    <w:rsid w:val="000A27AF"/>
    <w:pPr>
      <w:spacing w:after="120"/>
    </w:pPr>
    <w:rPr>
      <w:sz w:val="16"/>
      <w:szCs w:val="16"/>
    </w:rPr>
  </w:style>
  <w:style w:type="character" w:customStyle="1" w:styleId="BodyText3Char">
    <w:name w:val="Body Text 3 Char"/>
    <w:basedOn w:val="DefaultParagraphFont"/>
    <w:link w:val="BodyText3"/>
    <w:uiPriority w:val="99"/>
    <w:rsid w:val="000A27AF"/>
    <w:rPr>
      <w:kern w:val="0"/>
      <w:sz w:val="16"/>
      <w:szCs w:val="16"/>
      <w14:ligatures w14:val="none"/>
    </w:rPr>
  </w:style>
  <w:style w:type="character" w:styleId="CommentReference">
    <w:name w:val="annotation reference"/>
    <w:basedOn w:val="DefaultParagraphFont"/>
    <w:uiPriority w:val="99"/>
    <w:semiHidden/>
    <w:unhideWhenUsed/>
    <w:rsid w:val="000A27AF"/>
    <w:rPr>
      <w:sz w:val="16"/>
      <w:szCs w:val="16"/>
    </w:rPr>
  </w:style>
  <w:style w:type="paragraph" w:styleId="CommentText">
    <w:name w:val="annotation text"/>
    <w:basedOn w:val="Normal"/>
    <w:link w:val="CommentTextChar"/>
    <w:uiPriority w:val="99"/>
    <w:semiHidden/>
    <w:unhideWhenUsed/>
    <w:rsid w:val="000A27AF"/>
    <w:pPr>
      <w:spacing w:line="240" w:lineRule="auto"/>
    </w:pPr>
    <w:rPr>
      <w:sz w:val="20"/>
      <w:szCs w:val="20"/>
    </w:rPr>
  </w:style>
  <w:style w:type="character" w:customStyle="1" w:styleId="CommentTextChar">
    <w:name w:val="Comment Text Char"/>
    <w:basedOn w:val="DefaultParagraphFont"/>
    <w:link w:val="CommentText"/>
    <w:uiPriority w:val="99"/>
    <w:semiHidden/>
    <w:rsid w:val="000A27AF"/>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A27AF"/>
    <w:rPr>
      <w:b/>
      <w:bCs/>
    </w:rPr>
  </w:style>
  <w:style w:type="character" w:customStyle="1" w:styleId="CommentSubjectChar">
    <w:name w:val="Comment Subject Char"/>
    <w:basedOn w:val="CommentTextChar"/>
    <w:link w:val="CommentSubject"/>
    <w:uiPriority w:val="99"/>
    <w:semiHidden/>
    <w:rsid w:val="000A27AF"/>
    <w:rPr>
      <w:b/>
      <w:bCs/>
      <w:kern w:val="0"/>
      <w:sz w:val="20"/>
      <w:szCs w:val="20"/>
      <w14:ligatures w14:val="none"/>
    </w:rPr>
  </w:style>
  <w:style w:type="paragraph" w:styleId="BalloonText">
    <w:name w:val="Balloon Text"/>
    <w:basedOn w:val="Normal"/>
    <w:link w:val="BalloonTextChar"/>
    <w:uiPriority w:val="99"/>
    <w:semiHidden/>
    <w:unhideWhenUsed/>
    <w:rsid w:val="000A2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7AF"/>
    <w:rPr>
      <w:rFonts w:ascii="Segoe UI" w:hAnsi="Segoe UI" w:cs="Segoe UI"/>
      <w:kern w:val="0"/>
      <w:sz w:val="18"/>
      <w:szCs w:val="18"/>
      <w14:ligatures w14:val="none"/>
    </w:rPr>
  </w:style>
  <w:style w:type="paragraph" w:customStyle="1" w:styleId="Default">
    <w:name w:val="Default"/>
    <w:rsid w:val="000A27AF"/>
    <w:pPr>
      <w:autoSpaceDE w:val="0"/>
      <w:autoSpaceDN w:val="0"/>
      <w:adjustRightInd w:val="0"/>
      <w:spacing w:after="0" w:line="240" w:lineRule="auto"/>
    </w:pPr>
    <w:rPr>
      <w:rFonts w:ascii="Verdana" w:hAnsi="Verdana" w:cs="Verdana"/>
      <w:color w:val="000000"/>
      <w:kern w:val="0"/>
      <w:sz w:val="24"/>
      <w:szCs w:val="24"/>
      <w14:ligatures w14:val="none"/>
    </w:rPr>
  </w:style>
  <w:style w:type="paragraph" w:styleId="NormalWeb">
    <w:name w:val="Normal (Web)"/>
    <w:basedOn w:val="Normal"/>
    <w:uiPriority w:val="99"/>
    <w:unhideWhenUsed/>
    <w:rsid w:val="000A27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child">
    <w:name w:val="last-child"/>
    <w:basedOn w:val="Normal"/>
    <w:rsid w:val="000A27A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basedOn w:val="Normal"/>
    <w:uiPriority w:val="1"/>
    <w:qFormat/>
    <w:rsid w:val="000A27AF"/>
    <w:pPr>
      <w:spacing w:after="0" w:line="240" w:lineRule="auto"/>
    </w:pPr>
    <w:rPr>
      <w:rFonts w:ascii="Calibri" w:hAnsi="Calibri" w:cs="Calibri"/>
    </w:rPr>
  </w:style>
  <w:style w:type="table" w:styleId="TableGrid">
    <w:name w:val="Table Grid"/>
    <w:basedOn w:val="TableNormal"/>
    <w:uiPriority w:val="39"/>
    <w:rsid w:val="000A27AF"/>
    <w:pPr>
      <w:spacing w:after="0" w:line="240" w:lineRule="auto"/>
    </w:pPr>
    <w:rPr>
      <w:rFonts w:ascii="Arial" w:eastAsia="Times New Roman" w:hAnsi="Arial" w:cs="Arial"/>
      <w:kern w:val="0"/>
      <w:sz w:val="20"/>
      <w:szCs w:val="20"/>
      <w:lang w:eastAsia="en-GB"/>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A27AF"/>
    <w:rPr>
      <w:color w:val="467886" w:themeColor="hyperlink"/>
      <w:u w:val="single"/>
    </w:rPr>
  </w:style>
  <w:style w:type="paragraph" w:customStyle="1" w:styleId="SPParagraph">
    <w:name w:val="SP Paragraph"/>
    <w:basedOn w:val="Normal"/>
    <w:link w:val="SPParagraphChar"/>
    <w:qFormat/>
    <w:rsid w:val="000A27AF"/>
    <w:pPr>
      <w:jc w:val="both"/>
    </w:pPr>
    <w:rPr>
      <w:rFonts w:ascii="Arial" w:hAnsi="Arial" w:cs="Calibri"/>
      <w:sz w:val="24"/>
      <w:szCs w:val="24"/>
    </w:rPr>
  </w:style>
  <w:style w:type="character" w:customStyle="1" w:styleId="SPParagraphChar">
    <w:name w:val="SP Paragraph Char"/>
    <w:basedOn w:val="DefaultParagraphFont"/>
    <w:link w:val="SPParagraph"/>
    <w:rsid w:val="000A27AF"/>
    <w:rPr>
      <w:rFonts w:ascii="Arial" w:hAnsi="Arial" w:cs="Calibri"/>
      <w:kern w:val="0"/>
      <w:sz w:val="24"/>
      <w:szCs w:val="24"/>
      <w14:ligatures w14:val="none"/>
    </w:rPr>
  </w:style>
  <w:style w:type="table" w:customStyle="1" w:styleId="TableGrid1">
    <w:name w:val="Table Grid1"/>
    <w:basedOn w:val="TableNormal"/>
    <w:next w:val="TableGrid"/>
    <w:rsid w:val="000A27AF"/>
    <w:pPr>
      <w:spacing w:after="0" w:line="240" w:lineRule="auto"/>
    </w:pPr>
    <w:rPr>
      <w:rFonts w:ascii="Arial" w:eastAsia="Times New Roman" w:hAnsi="Arial" w:cs="Arial"/>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4472</Words>
  <Characters>25497</Characters>
  <Application>Microsoft Office Word</Application>
  <DocSecurity>0</DocSecurity>
  <Lines>212</Lines>
  <Paragraphs>59</Paragraphs>
  <ScaleCrop>false</ScaleCrop>
  <Company/>
  <LinksUpToDate>false</LinksUpToDate>
  <CharactersWithSpaces>29910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Winter, Alex 18207</dc:creator>
  <cp:keywords/>
  <dc:description/>
  <cp:lastModifiedBy>Winter, Alex 18207</cp:lastModifiedBy>
  <cp:revision>1</cp:revision>
  <dcterms:created xsi:type="dcterms:W3CDTF">2025-02-26T17:07:00Z</dcterms:created>
  <dcterms:modified xsi:type="dcterms:W3CDTF">2025-02-26T17:07:00Z</dcterms:modified>
</cp:coreProperties>
</file>